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-342898</wp:posOffset>
            </wp:positionH>
            <wp:positionV relativeFrom="paragraph">
              <wp:posOffset>0</wp:posOffset>
            </wp:positionV>
            <wp:extent cx="939165" cy="93916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-139699</wp:posOffset>
                </wp:positionV>
                <wp:extent cx="1314450" cy="171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-139699</wp:posOffset>
                </wp:positionV>
                <wp:extent cx="1314450" cy="171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cole Secondaire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LAURIER MACDONALD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High School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7355 Viau, Saint-Leonard  H1S 3C2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Tel: 514-374-6000  Fax: 514-374-7220</w:t>
      </w:r>
    </w:p>
    <w:p w:rsidR="00000000" w:rsidDel="00000000" w:rsidP="00000000" w:rsidRDefault="00000000" w:rsidRPr="00000000" w14:paraId="00000005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COURSE STANDARDS AND PROCEDURES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Secondary Three Visual Arts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 RESOURCES: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Textbooks, workbooks, novels, websites, online supports,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By engaging in inquiry-based projects, Visual Arts provides opportunities for students to develop their skills in creativity and problem-solving through discovery and exploration of the elements and principles of art.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COURSE DESCRIPTION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Overview of the course’s content and objectives, and how they will be addressed through the course content and curriculum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By engaging in inquiry-based projects, Visual Arts provides opportunities for students to develop their skills in creativity and problem-solving through discovery and exploration of the elements and principles of art.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MYP AIMS ADDRESSED BY THE COURSE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What are the aims/objectives of the course?  How do these relate to the MEES competencies?</w:t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MYP Course Aims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MEES Course Objectives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Create and present art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Develop skills specific to the discipline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Engage in a process of creative exploration and (self-)discovery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Make purposeful connections between investigation and practice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Understand the relationship between art and its contexts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Respond to and reflect on art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Deepen their understanding of the world.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Uses ideas to create a visual arts work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before="5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Uses transforming gestures and elements of visual arts language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Organizes his/her visual arts production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Shares his/her experience of visual arts creation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Analyzes a work or production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Interprets the meaning of the work or production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Makes a critical and aesthetic judgment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Shares his/her appreciation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FUNDAMENTAL IB CONCEPTS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Identify the MYP fundamental concepts (communication, intercultural awareness and holistic learning) specific to the subject and explain how they will be incorporated.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The fundamental concept of holistic learning is incorporated into Visual Arts as students are required to draw upon prior knowledge and experiences as part of their creative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br w:type="textWrapping"/>
        <w:t xml:space="preserve">KEY INSTRUCTIONAL STRATEGIES/APPROACHES TO LEARNING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 Which ATLs will be addressed in the course and how? How will the content be delivered to the students?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Creative Thinking skills will be developed as students engage in inquiry-based projects as a means of creative expression.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IB MYP LEARNER PROFILE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Identify which profile attributes will be addressed in the course and how.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“Creative” by engaging in inquiry-based learning projects. “Risk-taker” by providing opportunities for students to experiment with unfamiliar methods and techniques.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FORMATIVE &amp; SUMMATIVE ASSESSMENT INCLUDING MYP ASSESSMENT: </w:t>
      </w:r>
    </w:p>
    <w:tbl>
      <w:tblPr>
        <w:tblStyle w:val="Table2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8"/>
        <w:gridCol w:w="3100"/>
        <w:gridCol w:w="2365"/>
        <w:tblGridChange w:id="0">
          <w:tblGrid>
            <w:gridCol w:w="4648"/>
            <w:gridCol w:w="3100"/>
            <w:gridCol w:w="2365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Term 1 (40% of School Course Grade)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1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Competency 1: Creates Personal / Media Images: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70%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Competency 2: Appreciates Images: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30%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-Inquiry-based research assignments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- Project-based artworks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- In-class quizzes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Sept. 2022 - June 2023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Mosaik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Sketchbook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Pencil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Eraser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Ruler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Glue Stick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Internet Connection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Sharpie markers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Markers 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Cell Phone to connect to google classroom to hand in work and or submit in class if not possible 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Objective 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Knowing &amp; Understanding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Objective B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Developing Skills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Objective 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Thinking Creatively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Objective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Responding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In-class formative assessment of student work in sketchbooks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Summative research assignment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Summative assessment artworks submitted via Google Classroom and in-class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Opportunities for students to re-submit unsatisfactory assignments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Additional Information/Specifications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does not have a final exam. The final course grade comes entirely from the school course grade.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