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939165" cy="93916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26" style="position:absolute;margin-left:387.0pt;margin-top:0.0pt;width:65.3pt;height:63pt;z-index:251658752;mso-wrap-edited:f;mso-width-percent:0;mso-height-percent:0;mso-width-percent:0;mso-height-percent:0;mso-position-horizontal:absolute;mso-position-vertical:absolute;mso-position-horizontal-relative:margin;mso-position-vertical-relative:text;" alt="" type="#_x0000_t75">
            <v:imagedata r:id="rId1" o:title=""/>
            <w10:wrap type="square"/>
          </v:shape>
          <o:OLEObject DrawAspect="Content" r:id="rId2" ObjectID="_1693199010" ProgID="MSPhotoEd.3" ShapeID="_x0000_s1026" Type="Embed"/>
        </w:pic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cole Secondaire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LAURIER MACDONALD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High School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7355 Viau, Saint-Leonard  H1S 3C2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Tel: 514-374-6000  Fax: 514-374-7220</w:t>
      </w:r>
    </w:p>
    <w:p w:rsidR="00000000" w:rsidDel="00000000" w:rsidP="00000000" w:rsidRDefault="00000000" w:rsidRPr="00000000" w14:paraId="00000006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COURSE STANDARDS AND PROCEDURES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Mathematics 414 Secondary 4 Math CST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 RESOURCES: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Teacher notes, in-class handouts, Math Help Services, Google Classroom, Math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3000 workbook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COURSE 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br w:type="textWrapping"/>
        <w:tab/>
        <w:t xml:space="preserve">Cultural, Social and Technical Math course that is a pre-requisite for Math 504.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MYP AIMS ADDRESSED BY THE COURSE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What are the aims/objectives of the course?  How do these relate to the MEES competencies?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• Enjoy mathematics, develop curiosity and begin to appreciate its elegance and power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• Develop an understanding of the principles and nature of mathematics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• Communicate clearly and confidently in a variety of contexts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• Develop logical, critical and creative thinking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MYP Course Aims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MEES Course Objectives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u w:val="none"/>
                <w:rtl w:val="0"/>
              </w:rPr>
              <w:t xml:space="preserve">Knowing and understanding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u w:val="none"/>
                <w:rtl w:val="0"/>
              </w:rPr>
              <w:t xml:space="preserve">-Investigating patterns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u w:val="none"/>
                <w:rtl w:val="0"/>
              </w:rPr>
              <w:t xml:space="preserve">-Communicating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u w:val="none"/>
                <w:rtl w:val="0"/>
              </w:rPr>
              <w:t xml:space="preserve">-Applying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 1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br w:type="textWrapping"/>
              <w:t xml:space="preserve">Topic 1 – From lines to systems of equations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Points and segments in Cartesian plane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Change on the axes</w:t>
              <w:br w:type="textWrapping"/>
              <w:t xml:space="preserve">• Slope of a Segment</w:t>
              <w:br w:type="textWrapping"/>
              <w:t xml:space="preserve">• Distance between two points</w:t>
              <w:br w:type="textWrapping"/>
              <w:t xml:space="preserve">• Mid-point/Division point</w:t>
              <w:br w:type="textWrapping"/>
              <w:t xml:space="preserve">• Equation of a line</w:t>
              <w:br w:type="textWrapping"/>
              <w:t xml:space="preserve">• Parallel and perpendicular lines </w:t>
              <w:br w:type="textWrapping"/>
              <w:t xml:space="preserve">• Systems of equations </w:t>
              <w:br w:type="textWrapping"/>
              <w:t xml:space="preserve">• Particular cases of systems of equations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Knowing and understanding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-Investigating patterns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-Communicating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-Applying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 2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Topic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Statistical measures and linear correlation</w:t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Single-variable distribution</w:t>
              <w:br w:type="textWrapping"/>
              <w:t xml:space="preserve">• Two-variable distributions</w:t>
              <w:br w:type="textWrapping"/>
              <w:t xml:space="preserve">• Correlation</w:t>
              <w:br w:type="textWrapping"/>
              <w:t xml:space="preserve">• Contingency table</w:t>
              <w:br w:type="textWrapping"/>
              <w:t xml:space="preserve">• Scatter plot</w:t>
              <w:br w:type="textWrapping"/>
              <w:t xml:space="preserve">• Correlation coefficient</w:t>
              <w:br w:type="textWrapping"/>
              <w:t xml:space="preserve">• Interpreting a correlation</w:t>
              <w:br w:type="textWrapping"/>
              <w:t xml:space="preserve">• Factors in interpreting the correlation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Topic 3 – From functions to modeling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Real functions</w:t>
              <w:br w:type="textWrapping"/>
              <w:t xml:space="preserve">• Families of functions and choosing a model</w:t>
              <w:br w:type="textWrapping"/>
              <w:t xml:space="preserve">• Second-degree polynomial function </w:t>
              <w:br w:type="textWrapping"/>
              <w:t xml:space="preserve">• Exponential functions</w:t>
              <w:br w:type="textWrapping"/>
              <w:t xml:space="preserve">• Periodic function</w:t>
              <w:br w:type="textWrapping"/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Knowing and understanding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-Investigating patterns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-Communicating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-Applying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TERM 3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Topic 4 – Trigonometry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Trigonometric ratios</w:t>
              <w:br w:type="textWrapping"/>
              <w:t xml:space="preserve">• Solving a right triangle </w:t>
              <w:br w:type="textWrapping"/>
              <w:t xml:space="preserve">• Area of a triangle</w:t>
              <w:br w:type="textWrapping"/>
              <w:t xml:space="preserve">• Sine law</w:t>
              <w:br w:type="textWrapping"/>
              <w:t xml:space="preserve">• Hero’s formula</w:t>
            </w:r>
          </w:p>
        </w:tc>
      </w:tr>
    </w:tbl>
    <w:p w:rsidR="00000000" w:rsidDel="00000000" w:rsidP="00000000" w:rsidRDefault="00000000" w:rsidRPr="00000000" w14:paraId="00000034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KEY INSTRUCTIONAL STRATEGIES/APPROACHES TO LEARNING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Which ATLs will be addressed in the course and how?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Critical thinking skills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Analyzing and evaluating issues and ideas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Practice observing carefully in order to recognize problems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Gather and organize relevant information to formulate an argument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Practice visible thinking strategies and techniques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Utilizing skills and knowledge in multiple contexts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Apply skills and knowledge in unfamiliar situations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Transfer current knowledge to learning of new technologies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How will the content be delivered to the students?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Warm up questions, discussions allow students to reflect on previous classes concepts and learning experiences.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Homework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 quizzes allow students to reflect on previous classes concepts and learning experiences.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Demonstrate proper mathematical notation within explanation of concepts.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 Formative assessments (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Homework 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quizzes, quizzes,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tests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)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 Group discussions when faced with unfamiliar situations; students discuss appropriate strategies and situations.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4"/>
          <w:tab w:val="left" w:pos="907"/>
          <w:tab w:val="left" w:pos="1361"/>
          <w:tab w:val="left" w:pos="1814"/>
        </w:tabs>
        <w:spacing w:after="120" w:lineRule="auto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•  Students combine and apply their mathematical knowledge when solving summative Situational Problems.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 MYP LEARNER PROFILE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Identify which profile attributes will be addressed in the course and how.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Thinkers, helpers, communicators, hard workers, caring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FORMATIVE &amp; SUMMATIVE ASSESSMENT INCLUDING MYP ASSESSMENT: </w:t>
      </w:r>
    </w:p>
    <w:tbl>
      <w:tblPr>
        <w:tblStyle w:val="Table2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8"/>
        <w:gridCol w:w="3100"/>
        <w:gridCol w:w="2365"/>
        <w:tblGridChange w:id="0">
          <w:tblGrid>
            <w:gridCol w:w="4648"/>
            <w:gridCol w:w="3100"/>
            <w:gridCol w:w="2365"/>
          </w:tblGrid>
        </w:tblGridChange>
      </w:tblGrid>
      <w:tr>
        <w:trPr>
          <w:cantSplit w:val="0"/>
          <w:trHeight w:val="457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Term 1 (20% of School Course Grade)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Competency 1: Solves a situational problem </w:t>
              <w:br w:type="textWrapping"/>
              <w:t xml:space="preserve">(30% of term grade)</w:t>
              <w:br w:type="textWrapping"/>
              <w:br w:type="textWrapping"/>
              <w:t xml:space="preserve">Competency 2: Uses mathematical reasoning </w:t>
              <w:br w:type="textWrapping"/>
              <w:t xml:space="preserve">(70% of term grade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Tests </w:t>
              <w:br w:type="textWrapping"/>
              <w:t xml:space="preserve">- Quizzes</w:t>
              <w:br w:type="textWrapping"/>
              <w:t xml:space="preserve">- Homework quizzes</w:t>
              <w:br w:type="textWrapping"/>
              <w:t xml:space="preserve">- Situational Problem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 1, 2022 –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 3, 2022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 Report 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    Report card 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    Communication on an as needed basis.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Mozaik parent portal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Classroom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Notebook or lined paper, graph paper, binder for handouts and duo-tang for evaluations</w:t>
              <w:br w:type="textWrapping"/>
              <w:t xml:space="preserve">• Ruler, pencils, and eraser</w:t>
              <w:br w:type="textWrapping"/>
              <w:t xml:space="preserve">• Scientific calculator</w:t>
              <w:br w:type="textWrapping"/>
              <w:t xml:space="preserve">• Internet Access (Outside of the classroom: Home/Library/etc.)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A: Knowing and understanding</w:t>
              <w:br w:type="textWrapping"/>
              <w:t xml:space="preserve">B: Investigating patterns</w:t>
              <w:br w:type="textWrapping"/>
              <w:t xml:space="preserve">C: Communicating</w:t>
              <w:br w:type="textWrapping"/>
              <w:t xml:space="preserve">D: 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Tests </w:t>
              <w:br w:type="textWrapping"/>
              <w:t xml:space="preserve">- Quizzes</w:t>
              <w:br w:type="textWrapping"/>
              <w:t xml:space="preserve">- Homework quizzes</w:t>
              <w:br w:type="textWrapping"/>
              <w:t xml:space="preserve">- Situational Problem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7A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Term 2 (20% of School Course Grade)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Competency 1: Solves a situational problem </w:t>
              <w:br w:type="textWrapping"/>
              <w:t xml:space="preserve">(30% of term grade)</w:t>
              <w:br w:type="textWrapping"/>
              <w:br w:type="textWrapping"/>
              <w:t xml:space="preserve">Competency 2: Uses mathematical reasoning </w:t>
              <w:br w:type="textWrapping"/>
              <w:t xml:space="preserve">(70% of term grade)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Tests </w:t>
              <w:br w:type="textWrapping"/>
              <w:t xml:space="preserve">- Quizzes</w:t>
              <w:br w:type="textWrapping"/>
              <w:t xml:space="preserve">- Homework Quizzes</w:t>
              <w:br w:type="textWrapping"/>
              <w:t xml:space="preserve">- Situational Problem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 4, 2022-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 3, 2023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    Report card 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    Communication on an as needed basis.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Mozaik parent portal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Notebook or lined paper, graph paper, binder for handouts and duo-tang for evaluations</w:t>
              <w:br w:type="textWrapping"/>
              <w:t xml:space="preserve">• Ruler, pencils, and eraser</w:t>
              <w:br w:type="textWrapping"/>
              <w:t xml:space="preserve">• Scientific calculator</w:t>
              <w:br w:type="textWrapping"/>
              <w:t xml:space="preserve">• Internet Access (Outside of the classroom: Home/Library/etc)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A: Knowing and understanding</w:t>
              <w:br w:type="textWrapping"/>
              <w:t xml:space="preserve">B: Investigating patterns</w:t>
              <w:br w:type="textWrapping"/>
              <w:t xml:space="preserve">C: Communicating</w:t>
              <w:br w:type="textWrapping"/>
              <w:t xml:space="preserve">D: 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Homework quizzes</w:t>
              <w:br w:type="textWrapping"/>
              <w:t xml:space="preserve">- Situational Problem</w:t>
            </w:r>
          </w:p>
        </w:tc>
      </w:tr>
    </w:tbl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3"/>
        <w:gridCol w:w="3175"/>
        <w:gridCol w:w="2225"/>
        <w:tblGridChange w:id="0">
          <w:tblGrid>
            <w:gridCol w:w="4763"/>
            <w:gridCol w:w="3175"/>
            <w:gridCol w:w="22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A0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Term 3 (60% of School Course Grade)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Competencies targeted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Evaluation methods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Timeline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Competency 1: Solves a situational problem </w:t>
              <w:br w:type="textWrapping"/>
              <w:t xml:space="preserve">(30% of term grade)</w:t>
              <w:br w:type="textWrapping"/>
              <w:br w:type="textWrapping"/>
              <w:t xml:space="preserve">Competency 2: Uses mathematical reasoning </w:t>
              <w:br w:type="textWrapping"/>
              <w:t xml:space="preserve">(70% of term grade)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Tests </w:t>
              <w:br w:type="textWrapping"/>
              <w:t xml:space="preserve">- Quizzes</w:t>
              <w:br w:type="textWrapping"/>
              <w:t xml:space="preserve">- Homework quizzes</w:t>
              <w:br w:type="textWrapping"/>
              <w:t xml:space="preserve">- Situational Problem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 4, 2023-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June 22, 2023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to students and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Materials required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Report card 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    Communication on an as needed basis.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Mozaik parent portal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• Notebook or lined paper, graph paper, binder for handouts and duo-tang for evaluations</w:t>
              <w:br w:type="textWrapping"/>
              <w:t xml:space="preserve">• Ruler, pencils, and eraser</w:t>
              <w:br w:type="textWrapping"/>
              <w:t xml:space="preserve">• Scientific calculator</w:t>
              <w:br w:type="textWrapping"/>
              <w:t xml:space="preserve">• Internet Access (Outside of the classroom: Home/Library/etc)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IB MYP Criterion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Examples of assessment/feedback both formative and/or 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A: Knowing and understanding</w:t>
              <w:br w:type="textWrapping"/>
              <w:t xml:space="preserve">B: Investigating patterns</w:t>
              <w:br w:type="textWrapping"/>
              <w:t xml:space="preserve">C: Communicating</w:t>
              <w:br w:type="textWrapping"/>
              <w:t xml:space="preserve">D: Applying mathematics in real-life contexts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t xml:space="preserve">- Tests </w:t>
              <w:br w:type="textWrapping"/>
              <w:t xml:space="preserve">- Quizzes</w:t>
              <w:br w:type="textWrapping"/>
              <w:t xml:space="preserve">- Homework Quizzes</w:t>
              <w:br w:type="textWrapping"/>
              <w:t xml:space="preserve">- Situational Problem</w:t>
            </w:r>
          </w:p>
        </w:tc>
      </w:tr>
    </w:tbl>
    <w:p w:rsidR="00000000" w:rsidDel="00000000" w:rsidP="00000000" w:rsidRDefault="00000000" w:rsidRPr="00000000" w14:paraId="000000C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C9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Additional Information/Specifications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does not have a final exam. The final course grade comes entirely from the school course grade.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has a final exam administered by the English Montreal School Board. The final course grade is determined by taking 70% of the school course grade and 30% of the school board exam.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course has a final exam administered by the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Ministère de l’Éducation et de l’Enseignement Supérieur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(MEES). For this year only, the final course grade is determined by taking 20% of the Ministry Exam mark and 80% of the school course grade.</w:t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MS Gothic"/>
  <w:font w:name="Courier New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6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13F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 w:val="1"/>
    <w:rsid w:val="00B05D4F"/>
    <w:pPr>
      <w:keepNext w:val="1"/>
      <w:jc w:val="center"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qFormat w:val="1"/>
    <w:rsid w:val="00B05D4F"/>
    <w:pPr>
      <w:keepNext w:val="1"/>
      <w:outlineLvl w:val="1"/>
    </w:pPr>
    <w:rPr>
      <w:b w:val="1"/>
      <w:sz w:val="28"/>
      <w:szCs w:val="20"/>
      <w:lang w:val="en-US"/>
    </w:rPr>
  </w:style>
  <w:style w:type="paragraph" w:styleId="Heading3">
    <w:name w:val="heading 3"/>
    <w:basedOn w:val="Normal"/>
    <w:next w:val="Normal"/>
    <w:qFormat w:val="1"/>
    <w:rsid w:val="00B05D4F"/>
    <w:pPr>
      <w:keepNext w:val="1"/>
      <w:jc w:val="center"/>
      <w:outlineLvl w:val="2"/>
    </w:pPr>
    <w:rPr>
      <w:sz w:val="28"/>
      <w:szCs w:val="2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B15A7"/>
    <w:rPr>
      <w:rFonts w:ascii="Tahoma" w:cs="Tahoma" w:hAnsi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B15A7"/>
    <w:rPr>
      <w:rFonts w:ascii="Tahoma" w:cs="Tahoma" w:hAnsi="Tahoma"/>
      <w:sz w:val="16"/>
      <w:szCs w:val="16"/>
      <w:lang w:eastAsia="en-US" w:val="en-US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4A1BC8"/>
    <w:pPr>
      <w:tabs>
        <w:tab w:val="center" w:pos="4680"/>
        <w:tab w:val="right" w:pos="9360"/>
      </w:tabs>
    </w:pPr>
    <w:rPr>
      <w:sz w:val="20"/>
      <w:szCs w:val="20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A1BC8"/>
  </w:style>
  <w:style w:type="paragraph" w:styleId="Footer">
    <w:name w:val="footer"/>
    <w:basedOn w:val="Normal"/>
    <w:link w:val="FooterChar"/>
    <w:uiPriority w:val="99"/>
    <w:semiHidden w:val="1"/>
    <w:unhideWhenUsed w:val="1"/>
    <w:rsid w:val="004A1BC8"/>
    <w:pPr>
      <w:tabs>
        <w:tab w:val="center" w:pos="4680"/>
        <w:tab w:val="right" w:pos="9360"/>
      </w:tabs>
    </w:pPr>
    <w:rPr>
      <w:sz w:val="20"/>
      <w:szCs w:val="20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A1BC8"/>
  </w:style>
  <w:style w:type="paragraph" w:styleId="ListParagraph">
    <w:name w:val="List Paragraph"/>
    <w:basedOn w:val="Normal"/>
    <w:uiPriority w:val="34"/>
    <w:qFormat w:val="1"/>
    <w:rsid w:val="001F3384"/>
    <w:pPr>
      <w:ind w:left="720"/>
      <w:contextualSpacing w:val="1"/>
    </w:pPr>
    <w:rPr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 w:val="1"/>
    <w:rsid w:val="00C449C1"/>
    <w:rPr>
      <w:b w:val="1"/>
      <w:bCs w:val="1"/>
    </w:rPr>
  </w:style>
  <w:style w:type="table" w:styleId="TableGrid">
    <w:name w:val="Table Grid"/>
    <w:basedOn w:val="TableNormal"/>
    <w:uiPriority w:val="59"/>
    <w:rsid w:val="008736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D9185C"/>
    <w:rPr>
      <w:color w:val="808080"/>
    </w:rPr>
  </w:style>
  <w:style w:type="character" w:styleId="Style1" w:customStyle="1">
    <w:name w:val="Style1"/>
    <w:basedOn w:val="DefaultParagraphFont"/>
    <w:uiPriority w:val="1"/>
    <w:rsid w:val="00D9185C"/>
    <w:rPr>
      <w:b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C0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C0437"/>
    <w:rPr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C0437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C043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C0437"/>
    <w:rPr>
      <w:b w:val="1"/>
      <w:bCs w:val="1"/>
    </w:rPr>
  </w:style>
  <w:style w:type="paragraph" w:styleId="Corps" w:customStyle="1">
    <w:name w:val="Corps"/>
    <w:rsid w:val="00A5678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u w:color="000000"/>
      <w:bdr w:space="0" w:sz="0" w:val="nil"/>
      <w:lang w:eastAsia="en-CA" w:val="en-CA"/>
      <w14:textOutline w14:cap="flat" w14:cmpd="sng" w14:algn="ctr">
        <w14:noFill/>
        <w14:prstDash w14:val="solid"/>
        <w14:bevel/>
      </w14:textOutline>
    </w:rPr>
  </w:style>
  <w:style w:type="character" w:styleId="Aucun" w:customStyle="1">
    <w:name w:val="Aucun"/>
    <w:rsid w:val="00A5678F"/>
  </w:style>
  <w:style w:type="paragraph" w:styleId="NormalWeb">
    <w:name w:val="Normal (Web)"/>
    <w:basedOn w:val="Normal"/>
    <w:uiPriority w:val="99"/>
    <w:unhideWhenUsed w:val="1"/>
    <w:rsid w:val="004F13FA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hN6ZXVjc+N5H0wmK/2qF122/g==">AMUW2mUPt2EvsmJVRh6HUWZYxWSOxZd2o05CC8ZVF9jYVzgym65ApnQd7FNa1n6iqtkkEOD8cJJjvOj76Fmyzfli7oilXnNprPxnBxNcY9+vnLAZ1AqEcgceja6lnEJ+2JssfsHA77+GEnfPDUOIy/eFn/4HN1jl/LpvAI9Ve+OiDk65cTb7pOffqxFw8zluolI7UTq/PKFSkoCzNhr8ap+CH/gCnQlZVv5FELCVTU2FiF/8kpp3rbXUq/bvCBMd0FOzxsGv0dV8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2021-09-15T12:17:00Z</dcterms:created>
  <dc:creator>nromano</dc:creator>
</cp:coreProperties>
</file>