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Differential Calculus, 566574</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Teacher notes, Khan Academy</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rtl w:val="0"/>
        </w:rPr>
        <w:t xml:space="preserve">This course is aimed to cover the topics of precalculus and differential calculus, including but not limited to functions, limits and continuity, differentiation and the use of derivatives to analyze functions.</w:t>
      </w:r>
    </w:p>
    <w:p w:rsidR="00000000" w:rsidDel="00000000" w:rsidP="00000000" w:rsidRDefault="00000000" w:rsidRPr="00000000" w14:paraId="00000010">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have a fundamental understanding of algebra and the properties of functions in order to master the course. Although no textbook is used, ample materials will be provided through google classroom for the students’ benefit.</w:t>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What are the aims/objectives of the course?  How do these relate to the MEES competencies?</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Knowing and Understanding</w:t>
            </w:r>
          </w:p>
          <w:p w:rsidR="00000000" w:rsidDel="00000000" w:rsidP="00000000" w:rsidRDefault="00000000" w:rsidRPr="00000000" w14:paraId="00000014">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Investigating patterns</w:t>
            </w:r>
          </w:p>
          <w:p w:rsidR="00000000" w:rsidDel="00000000" w:rsidP="00000000" w:rsidRDefault="00000000" w:rsidRPr="00000000" w14:paraId="00000015">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Communicating</w:t>
            </w:r>
          </w:p>
          <w:p w:rsidR="00000000" w:rsidDel="00000000" w:rsidP="00000000" w:rsidRDefault="00000000" w:rsidRPr="00000000" w14:paraId="00000016">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Applying mathematics in real life</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1:</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-Factoring</w:t>
            </w:r>
          </w:p>
          <w:p w:rsidR="00000000" w:rsidDel="00000000" w:rsidP="00000000" w:rsidRDefault="00000000" w:rsidRPr="00000000" w14:paraId="0000001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Methods of factorization</w:t>
            </w:r>
          </w:p>
          <w:p w:rsidR="00000000" w:rsidDel="00000000" w:rsidP="00000000" w:rsidRDefault="00000000" w:rsidRPr="00000000" w14:paraId="0000001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Polynomial factorization of a degree higher than 3</w:t>
            </w:r>
          </w:p>
          <w:p w:rsidR="00000000" w:rsidDel="00000000" w:rsidP="00000000" w:rsidRDefault="00000000" w:rsidRPr="00000000" w14:paraId="0000001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-Properties of functions</w:t>
            </w:r>
          </w:p>
          <w:p w:rsidR="00000000" w:rsidDel="00000000" w:rsidP="00000000" w:rsidRDefault="00000000" w:rsidRPr="00000000" w14:paraId="0000001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Rational function</w:t>
            </w:r>
          </w:p>
          <w:p w:rsidR="00000000" w:rsidDel="00000000" w:rsidP="00000000" w:rsidRDefault="00000000" w:rsidRPr="00000000" w14:paraId="0000001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Radical function</w:t>
            </w:r>
          </w:p>
          <w:p w:rsidR="00000000" w:rsidDel="00000000" w:rsidP="00000000" w:rsidRDefault="00000000" w:rsidRPr="00000000" w14:paraId="0000001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Composite and inverse functions</w:t>
            </w:r>
          </w:p>
        </w:tc>
      </w:tr>
      <w:tr>
        <w:trPr>
          <w:cantSplit w:val="0"/>
          <w:tblHeader w:val="0"/>
        </w:trPr>
        <w:tc>
          <w:tcPr/>
          <w:p w:rsidR="00000000" w:rsidDel="00000000" w:rsidP="00000000" w:rsidRDefault="00000000" w:rsidRPr="00000000" w14:paraId="0000002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Knowing and Understanding</w:t>
            </w:r>
          </w:p>
          <w:p w:rsidR="00000000" w:rsidDel="00000000" w:rsidP="00000000" w:rsidRDefault="00000000" w:rsidRPr="00000000" w14:paraId="00000021">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Investigating patterns</w:t>
            </w:r>
          </w:p>
          <w:p w:rsidR="00000000" w:rsidDel="00000000" w:rsidP="00000000" w:rsidRDefault="00000000" w:rsidRPr="00000000" w14:paraId="00000022">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Communicating</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Applying mathematics in real life</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2:</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-Limits and continuity</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Estimating limits</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One sided limits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Limits of composite functions</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Limits by factoring</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Squeeze theorem</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Continuity</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Infinite limits</w:t>
            </w:r>
          </w:p>
        </w:tc>
      </w:tr>
      <w:tr>
        <w:trPr>
          <w:cantSplit w:val="0"/>
          <w:tblHeader w:val="0"/>
        </w:trPr>
        <w:tc>
          <w:tcPr/>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Knowing and Understanding</w:t>
            </w:r>
          </w:p>
          <w:p w:rsidR="00000000" w:rsidDel="00000000" w:rsidP="00000000" w:rsidRDefault="00000000" w:rsidRPr="00000000" w14:paraId="0000002E">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Investigating patterns</w:t>
            </w:r>
          </w:p>
          <w:p w:rsidR="00000000" w:rsidDel="00000000" w:rsidP="00000000" w:rsidRDefault="00000000" w:rsidRPr="00000000" w14:paraId="0000002F">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Communicating</w:t>
            </w:r>
          </w:p>
          <w:p w:rsidR="00000000" w:rsidDel="00000000" w:rsidP="00000000" w:rsidRDefault="00000000" w:rsidRPr="00000000" w14:paraId="00000030">
            <w:pPr>
              <w:widowControl w:val="0"/>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Applying mathematics in real life</w:t>
            </w:r>
          </w:p>
        </w:tc>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3:</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-Differentiation</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Basic derivative rules</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Power rule</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Differentiating polynomials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Differentiating multiple types of functions</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Differentiating products and quotients</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Differentiating composite, implicit and inverse functions</w:t>
            </w:r>
          </w:p>
        </w:tc>
      </w:tr>
    </w:tbl>
    <w:p w:rsidR="00000000" w:rsidDel="00000000" w:rsidP="00000000" w:rsidRDefault="00000000" w:rsidRPr="00000000" w14:paraId="0000003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Identify the MYP fundamental concepts (communication, intercultural awareness and holistic learning) specific to the subject and explain how they will be incorporated.</w:t>
      </w:r>
    </w:p>
    <w:p w:rsidR="00000000" w:rsidDel="00000000" w:rsidP="00000000" w:rsidRDefault="00000000" w:rsidRPr="00000000" w14:paraId="0000003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Concept include Form, Relationships, and Logic by providing concrete examples.</w:t>
      </w:r>
    </w:p>
    <w:p w:rsidR="00000000" w:rsidDel="00000000" w:rsidP="00000000" w:rsidRDefault="00000000" w:rsidRPr="00000000" w14:paraId="0000003C">
      <w:pPr>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br w:type="textWrapping"/>
        <w:t xml:space="preserve">KEY INSTRUCTIONAL STRATEGIES/APPROACHES TO LEARNING</w:t>
      </w:r>
      <w:r w:rsidDel="00000000" w:rsidR="00000000" w:rsidRPr="00000000">
        <w:rPr>
          <w:rFonts w:ascii="Calibri" w:cs="Calibri" w:eastAsia="Calibri" w:hAnsi="Calibri"/>
          <w:color w:val="000000"/>
          <w:sz w:val="22"/>
          <w:szCs w:val="22"/>
          <w:rtl w:val="0"/>
        </w:rPr>
        <w:t xml:space="preserve">:  Which ATLs will be addressed in the course and how? How will the content be delivered to the students?</w:t>
      </w:r>
    </w:p>
    <w:p w:rsidR="00000000" w:rsidDel="00000000" w:rsidP="00000000" w:rsidRDefault="00000000" w:rsidRPr="00000000" w14:paraId="0000003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Thinking skills will be used by analyzing and evaluating different learning situations and problems. Students will be expected to practice thinking strategies and techniques based on knowledge provided in class.</w:t>
      </w:r>
    </w:p>
    <w:p w:rsidR="00000000" w:rsidDel="00000000" w:rsidP="00000000" w:rsidRDefault="00000000" w:rsidRPr="00000000" w14:paraId="0000003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Transfer skills will be used by applying the knowledge and skills they’ve accumulated through high school mathematics to new learning situations.</w:t>
      </w:r>
    </w:p>
    <w:p w:rsidR="00000000" w:rsidDel="00000000" w:rsidP="00000000" w:rsidRDefault="00000000" w:rsidRPr="00000000" w14:paraId="0000003F">
      <w:pPr>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Content will be delivered to students via printed notes, which will also be posted online. Homework assignments (including Khan academy) will allow students to reflect on their knowledge.</w:t>
      </w:r>
      <w:r w:rsidDel="00000000" w:rsidR="00000000" w:rsidRPr="00000000">
        <w:rPr>
          <w:rFonts w:ascii="Calibri" w:cs="Calibri" w:eastAsia="Calibri" w:hAnsi="Calibri"/>
          <w:color w:val="000000"/>
          <w:sz w:val="22"/>
          <w:szCs w:val="22"/>
          <w:rtl w:val="0"/>
        </w:rPr>
        <w:br w:type="textWrapping"/>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Identify which profile attributes will be addressed in the course and how.</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rtl w:val="0"/>
        </w:rPr>
        <w:t xml:space="preserve">Attributes: Communicators, Inquirers and Thinkers</w:t>
      </w:r>
    </w:p>
    <w:p w:rsidR="00000000" w:rsidDel="00000000" w:rsidP="00000000" w:rsidRDefault="00000000" w:rsidRPr="00000000" w14:paraId="00000042">
      <w:pPr>
        <w:spacing w:after="240" w:before="240" w:lineRule="auto"/>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Students will further develop these attributes in the use of group work. Students will be asked to complete work on their own and with their classmates before getting answers from teacher. Teaching will be differentiated for the variety of learners.</w:t>
      </w: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45">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1 (20% of School Course Grade)</w:t>
            </w:r>
          </w:p>
        </w:tc>
      </w:tr>
      <w:tr>
        <w:trPr>
          <w:cantSplit w:val="0"/>
          <w:trHeight w:val="484" w:hRule="atLeast"/>
          <w:tblHeader w:val="0"/>
        </w:trPr>
        <w:tc>
          <w:tcPr>
            <w:shd w:fill="bfbfbf" w:val="clear"/>
          </w:tcPr>
          <w:p w:rsidR="00000000" w:rsidDel="00000000" w:rsidP="00000000" w:rsidRDefault="00000000" w:rsidRPr="00000000" w14:paraId="0000004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4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4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4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Competency 1: Solves a situational problem</w:t>
            </w:r>
          </w:p>
          <w:p w:rsidR="00000000" w:rsidDel="00000000" w:rsidP="00000000" w:rsidRDefault="00000000" w:rsidRPr="00000000" w14:paraId="0000004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Competency 2: Uses mathematical reasoning</w:t>
            </w:r>
          </w:p>
        </w:tc>
        <w:tc>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include but not limited to: - Tests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 </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assignments </w:t>
            </w:r>
          </w:p>
        </w:tc>
        <w:tc>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1st - November 3rd, 2022 </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rHeight w:val="484" w:hRule="atLeast"/>
          <w:tblHeader w:val="0"/>
        </w:trPr>
        <w:tc>
          <w:tcPr>
            <w:shd w:fill="d9d9d9" w:val="clear"/>
          </w:tcPr>
          <w:p w:rsidR="00000000" w:rsidDel="00000000" w:rsidP="00000000" w:rsidRDefault="00000000" w:rsidRPr="00000000" w14:paraId="0000005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5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56">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Parent Portal and Google Classroom</w:t>
            </w:r>
          </w:p>
          <w:p w:rsidR="00000000" w:rsidDel="00000000" w:rsidP="00000000" w:rsidRDefault="00000000" w:rsidRPr="00000000" w14:paraId="00000057">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Progress Report</w:t>
            </w:r>
          </w:p>
          <w:p w:rsidR="00000000" w:rsidDel="00000000" w:rsidP="00000000" w:rsidRDefault="00000000" w:rsidRPr="00000000" w14:paraId="00000058">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Card</w:t>
            </w:r>
          </w:p>
          <w:p w:rsidR="00000000" w:rsidDel="00000000" w:rsidP="00000000" w:rsidRDefault="00000000" w:rsidRPr="00000000" w14:paraId="00000059">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communication (on an as needed</w:t>
            </w:r>
          </w:p>
          <w:p w:rsidR="00000000" w:rsidDel="00000000" w:rsidP="00000000" w:rsidRDefault="00000000" w:rsidRPr="00000000" w14:paraId="0000005A">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basis)</w:t>
            </w:r>
          </w:p>
        </w:tc>
        <w:tc>
          <w:tcPr>
            <w:gridSpan w:val="2"/>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Notebook or lined paper </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Binder </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Ruler, pencils, and eraser </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Scientific calculator </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 Access (Outside of the classroom: Home/Library)</w:t>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6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64">
            <w:pPr>
              <w:spacing w:after="0" w:before="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Knowing and understanding</w:t>
            </w:r>
          </w:p>
          <w:p w:rsidR="00000000" w:rsidDel="00000000" w:rsidP="00000000" w:rsidRDefault="00000000" w:rsidRPr="00000000" w14:paraId="00000065">
            <w:pPr>
              <w:spacing w:after="0" w:before="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 Investigating patterns</w:t>
            </w:r>
          </w:p>
          <w:p w:rsidR="00000000" w:rsidDel="00000000" w:rsidP="00000000" w:rsidRDefault="00000000" w:rsidRPr="00000000" w14:paraId="00000066">
            <w:pPr>
              <w:spacing w:after="0" w:before="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 Communicating</w:t>
            </w:r>
          </w:p>
          <w:p w:rsidR="00000000" w:rsidDel="00000000" w:rsidP="00000000" w:rsidRDefault="00000000" w:rsidRPr="00000000" w14:paraId="00000067">
            <w:pPr>
              <w:spacing w:after="0" w:before="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Applying mathematics in real-life contexts</w:t>
            </w:r>
          </w:p>
        </w:tc>
        <w:tc>
          <w:tcPr>
            <w:gridSpan w:val="2"/>
            <w:shd w:fill="auto" w:val="clea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Tests </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 </w:t>
            </w:r>
          </w:p>
          <w:p w:rsidR="00000000" w:rsidDel="00000000" w:rsidP="00000000" w:rsidRDefault="00000000" w:rsidRPr="00000000" w14:paraId="0000006A">
            <w:pP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Homework assignments </w:t>
            </w:r>
            <w:r w:rsidDel="00000000" w:rsidR="00000000" w:rsidRPr="00000000">
              <w:rPr>
                <w:rtl w:val="0"/>
              </w:rPr>
            </w:r>
          </w:p>
        </w:tc>
      </w:tr>
    </w:tbl>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6D">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2 (20% of School Course Grade)</w:t>
            </w:r>
          </w:p>
        </w:tc>
      </w:tr>
      <w:tr>
        <w:trPr>
          <w:cantSplit w:val="0"/>
          <w:trHeight w:val="429" w:hRule="atLeast"/>
          <w:tblHeader w:val="0"/>
        </w:trPr>
        <w:tc>
          <w:tcPr>
            <w:shd w:fill="bfbfbf" w:val="clear"/>
          </w:tcPr>
          <w:p w:rsidR="00000000" w:rsidDel="00000000" w:rsidP="00000000" w:rsidRDefault="00000000" w:rsidRPr="00000000" w14:paraId="0000007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7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7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7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Competency 1: Solves a situational problem</w:t>
            </w:r>
          </w:p>
          <w:p w:rsidR="00000000" w:rsidDel="00000000" w:rsidP="00000000" w:rsidRDefault="00000000" w:rsidRPr="00000000" w14:paraId="0000007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of term grade)</w:t>
            </w:r>
          </w:p>
          <w:p w:rsidR="00000000" w:rsidDel="00000000" w:rsidP="00000000" w:rsidRDefault="00000000" w:rsidRPr="00000000" w14:paraId="0000007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Competency 2: Uses mathematical reasoning</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include but not limited to: - Tests </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 </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assignments </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4th - February 3rd, 2023</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7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Parent Portal and Google Classroom</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Card</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communication (on an as needed</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basis)</w:t>
            </w:r>
          </w:p>
        </w:tc>
        <w:tc>
          <w:tcPr>
            <w:gridSpan w:val="2"/>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Notebook or lined paper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Binder </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Ruler, pencils, and eraser </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Scientific calculator </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 Access (Outside of the classroom: Home/Library)</w:t>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8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Knowing and understanding</w:t>
            </w:r>
          </w:p>
          <w:p w:rsidR="00000000" w:rsidDel="00000000" w:rsidP="00000000" w:rsidRDefault="00000000" w:rsidRPr="00000000" w14:paraId="0000009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 Investigating patterns</w:t>
            </w:r>
          </w:p>
          <w:p w:rsidR="00000000" w:rsidDel="00000000" w:rsidP="00000000" w:rsidRDefault="00000000" w:rsidRPr="00000000" w14:paraId="0000009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 Communicating</w:t>
            </w:r>
          </w:p>
          <w:p w:rsidR="00000000" w:rsidDel="00000000" w:rsidP="00000000" w:rsidRDefault="00000000" w:rsidRPr="00000000" w14:paraId="0000009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Applying mathematics in real-life contexts</w:t>
            </w:r>
          </w:p>
        </w:tc>
        <w:tc>
          <w:tcPr>
            <w:gridSpan w:val="2"/>
            <w:shd w:fill="auto" w:val="clear"/>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Tests </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 </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assignments </w:t>
            </w:r>
          </w:p>
        </w:tc>
      </w:tr>
    </w:tbl>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2"/>
        <w:gridCol w:w="3205"/>
        <w:gridCol w:w="2189"/>
        <w:tblGridChange w:id="0">
          <w:tblGrid>
            <w:gridCol w:w="4812"/>
            <w:gridCol w:w="3205"/>
            <w:gridCol w:w="2189"/>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98">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3 (60% of School Course Grade )</w:t>
            </w:r>
          </w:p>
        </w:tc>
      </w:tr>
      <w:tr>
        <w:trPr>
          <w:cantSplit w:val="0"/>
          <w:trHeight w:val="433" w:hRule="atLeast"/>
          <w:tblHeader w:val="0"/>
        </w:trPr>
        <w:tc>
          <w:tcPr>
            <w:shd w:fill="bfbfbf" w:val="clear"/>
          </w:tcPr>
          <w:p w:rsidR="00000000" w:rsidDel="00000000" w:rsidP="00000000" w:rsidRDefault="00000000" w:rsidRPr="00000000" w14:paraId="0000009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9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9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9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Competency 1: Solves a situational problem</w:t>
            </w:r>
          </w:p>
          <w:p w:rsidR="00000000" w:rsidDel="00000000" w:rsidP="00000000" w:rsidRDefault="00000000" w:rsidRPr="00000000" w14:paraId="0000009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Competency 2: Uses mathematical reasoning</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include but not limited to: - Tests </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 </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assignments </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February 4th - June 22nd, 2023</w:t>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r>
      <w:tr>
        <w:trPr>
          <w:cantSplit w:val="0"/>
          <w:trHeight w:val="433" w:hRule="atLeast"/>
          <w:tblHeader w:val="0"/>
        </w:trPr>
        <w:tc>
          <w:tcPr>
            <w:shd w:fill="d9d9d9" w:val="clear"/>
          </w:tcPr>
          <w:p w:rsidR="00000000" w:rsidDel="00000000" w:rsidP="00000000" w:rsidRDefault="00000000" w:rsidRPr="00000000" w14:paraId="000000A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A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Parent Portal and Google Classroom</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Card</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communication (on an as needed</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basis)</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Notebook or lined paper </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Binder </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Ruler, pencils, and eraser </w:t>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Scientific calculator </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 Access (Outside of the classroom: Home/Library)</w:t>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B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B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Knowing and understanding</w:t>
            </w:r>
          </w:p>
          <w:p w:rsidR="00000000" w:rsidDel="00000000" w:rsidP="00000000" w:rsidRDefault="00000000" w:rsidRPr="00000000" w14:paraId="000000B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 Investigating patterns</w:t>
            </w:r>
          </w:p>
          <w:p w:rsidR="00000000" w:rsidDel="00000000" w:rsidP="00000000" w:rsidRDefault="00000000" w:rsidRPr="00000000" w14:paraId="000000B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 Communicating</w:t>
            </w:r>
          </w:p>
          <w:p w:rsidR="00000000" w:rsidDel="00000000" w:rsidP="00000000" w:rsidRDefault="00000000" w:rsidRPr="00000000" w14:paraId="000000BE">
            <w:pPr>
              <w:rPr>
                <w:rFonts w:ascii="Calibri" w:cs="Calibri" w:eastAsia="Calibri" w:hAnsi="Calibri"/>
                <w:color w:val="808080"/>
                <w:sz w:val="22"/>
                <w:szCs w:val="22"/>
              </w:rPr>
            </w:pPr>
            <w:r w:rsidDel="00000000" w:rsidR="00000000" w:rsidRPr="00000000">
              <w:rPr>
                <w:rFonts w:ascii="Calibri" w:cs="Calibri" w:eastAsia="Calibri" w:hAnsi="Calibri"/>
                <w:i w:val="1"/>
                <w:sz w:val="22"/>
                <w:szCs w:val="22"/>
                <w:rtl w:val="0"/>
              </w:rPr>
              <w:t xml:space="preserve">D: Applying mathematics in real-life contexts</w:t>
            </w:r>
            <w:r w:rsidDel="00000000" w:rsidR="00000000" w:rsidRPr="00000000">
              <w:rPr>
                <w:rtl w:val="0"/>
              </w:rPr>
            </w:r>
          </w:p>
        </w:tc>
        <w:tc>
          <w:tcPr>
            <w:gridSpan w:val="2"/>
            <w:shd w:fill="auto" w:val="clear"/>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Tests </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 </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assignments </w:t>
            </w:r>
          </w:p>
        </w:tc>
      </w:tr>
    </w:tbl>
    <w:p w:rsidR="00000000" w:rsidDel="00000000" w:rsidP="00000000" w:rsidRDefault="00000000" w:rsidRPr="00000000" w14:paraId="000000C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CA">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Additional Information/Specifications</w:t>
            </w:r>
          </w:p>
        </w:tc>
      </w:tr>
      <w:tr>
        <w:trPr>
          <w:cantSplit w:val="0"/>
          <w:tblHeader w:val="0"/>
        </w:trPr>
        <w:tc>
          <w:tcPr/>
          <w:p w:rsidR="00000000" w:rsidDel="00000000" w:rsidP="00000000" w:rsidRDefault="00000000" w:rsidRPr="00000000" w14:paraId="000000C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Arimo" w:cs="Arimo" w:eastAsia="Arimo" w:hAnsi="Arimo"/>
                <w:b w:val="1"/>
                <w:sz w:val="22"/>
                <w:szCs w:val="22"/>
                <w:highlight w:val="black"/>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4">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