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7C2" w:rsidRDefault="00DD17C2" w:rsidP="00DD17C2">
      <w:pPr>
        <w:pStyle w:val="Default"/>
      </w:pPr>
    </w:p>
    <w:p w:rsidR="009920C3" w:rsidRDefault="009920C3" w:rsidP="00DD17C2">
      <w:pPr>
        <w:pStyle w:val="Default"/>
      </w:pPr>
    </w:p>
    <w:p w:rsidR="00DD17C2" w:rsidRDefault="00DD17C2" w:rsidP="00DD17C2">
      <w:pPr>
        <w:pStyle w:val="Default"/>
      </w:pPr>
    </w:p>
    <w:p w:rsidR="00DD17C2" w:rsidRDefault="00A3633E" w:rsidP="00986A58">
      <w:pPr>
        <w:pStyle w:val="Default"/>
        <w:jc w:val="both"/>
        <w:rPr>
          <w:sz w:val="22"/>
          <w:szCs w:val="22"/>
        </w:rPr>
      </w:pPr>
      <w:r>
        <w:rPr>
          <w:sz w:val="22"/>
          <w:szCs w:val="22"/>
        </w:rPr>
        <w:t xml:space="preserve">Dear parent(s)/guardian(s), </w:t>
      </w:r>
    </w:p>
    <w:p w:rsidR="009920C3" w:rsidRDefault="009920C3" w:rsidP="00986A58">
      <w:pPr>
        <w:pStyle w:val="Default"/>
        <w:jc w:val="both"/>
        <w:rPr>
          <w:sz w:val="22"/>
          <w:szCs w:val="22"/>
        </w:rPr>
      </w:pPr>
    </w:p>
    <w:p w:rsidR="00DD17C2" w:rsidRDefault="00DD17C2" w:rsidP="00986A58">
      <w:pPr>
        <w:pStyle w:val="Default"/>
        <w:jc w:val="both"/>
        <w:rPr>
          <w:sz w:val="22"/>
          <w:szCs w:val="22"/>
        </w:rPr>
      </w:pPr>
    </w:p>
    <w:p w:rsidR="00A3633E" w:rsidRDefault="00A3633E" w:rsidP="00986A58">
      <w:pPr>
        <w:pStyle w:val="Default"/>
        <w:jc w:val="both"/>
        <w:rPr>
          <w:sz w:val="22"/>
          <w:szCs w:val="22"/>
        </w:rPr>
      </w:pPr>
      <w:r>
        <w:rPr>
          <w:sz w:val="22"/>
          <w:szCs w:val="22"/>
        </w:rPr>
        <w:t xml:space="preserve">The </w:t>
      </w:r>
      <w:proofErr w:type="spellStart"/>
      <w:r>
        <w:rPr>
          <w:sz w:val="22"/>
          <w:szCs w:val="22"/>
        </w:rPr>
        <w:t>Ministère</w:t>
      </w:r>
      <w:proofErr w:type="spellEnd"/>
      <w:r>
        <w:rPr>
          <w:sz w:val="22"/>
          <w:szCs w:val="22"/>
        </w:rPr>
        <w:t xml:space="preserve"> de </w:t>
      </w:r>
      <w:proofErr w:type="spellStart"/>
      <w:r>
        <w:rPr>
          <w:sz w:val="22"/>
          <w:szCs w:val="22"/>
        </w:rPr>
        <w:t>l’Éducation</w:t>
      </w:r>
      <w:proofErr w:type="spellEnd"/>
      <w:r>
        <w:rPr>
          <w:sz w:val="22"/>
          <w:szCs w:val="22"/>
        </w:rPr>
        <w:t xml:space="preserve"> </w:t>
      </w:r>
      <w:proofErr w:type="gramStart"/>
      <w:r>
        <w:rPr>
          <w:sz w:val="22"/>
          <w:szCs w:val="22"/>
        </w:rPr>
        <w:t>et</w:t>
      </w:r>
      <w:proofErr w:type="gramEnd"/>
      <w:r>
        <w:rPr>
          <w:sz w:val="22"/>
          <w:szCs w:val="22"/>
        </w:rPr>
        <w:t xml:space="preserve"> de </w:t>
      </w:r>
      <w:proofErr w:type="spellStart"/>
      <w:r>
        <w:rPr>
          <w:sz w:val="22"/>
          <w:szCs w:val="22"/>
        </w:rPr>
        <w:t>l’Enseignement</w:t>
      </w:r>
      <w:proofErr w:type="spellEnd"/>
      <w:r>
        <w:rPr>
          <w:sz w:val="22"/>
          <w:szCs w:val="22"/>
        </w:rPr>
        <w:t xml:space="preserve"> </w:t>
      </w:r>
      <w:proofErr w:type="spellStart"/>
      <w:r>
        <w:rPr>
          <w:sz w:val="22"/>
          <w:szCs w:val="22"/>
        </w:rPr>
        <w:t>supérieur</w:t>
      </w:r>
      <w:proofErr w:type="spellEnd"/>
      <w:r>
        <w:rPr>
          <w:sz w:val="22"/>
          <w:szCs w:val="22"/>
        </w:rPr>
        <w:t xml:space="preserve"> is offering schools the opportunity to provide students with Sexuality Education. Students will receive 5 to 10 hours of sexuality education over the course of the 2019-2020 academic year. The learning content in Elementary school </w:t>
      </w:r>
      <w:proofErr w:type="gramStart"/>
      <w:r>
        <w:rPr>
          <w:sz w:val="22"/>
          <w:szCs w:val="22"/>
        </w:rPr>
        <w:t>is designed</w:t>
      </w:r>
      <w:proofErr w:type="gramEnd"/>
      <w:r>
        <w:rPr>
          <w:sz w:val="22"/>
          <w:szCs w:val="22"/>
        </w:rPr>
        <w:t xml:space="preserve"> for students from Kindergarten through to grade 6. </w:t>
      </w:r>
    </w:p>
    <w:p w:rsidR="00A3633E" w:rsidRDefault="00A3633E" w:rsidP="00986A58">
      <w:pPr>
        <w:pStyle w:val="Default"/>
        <w:jc w:val="both"/>
        <w:rPr>
          <w:sz w:val="22"/>
          <w:szCs w:val="22"/>
        </w:rPr>
      </w:pPr>
    </w:p>
    <w:p w:rsidR="00A3633E" w:rsidRDefault="00A3633E" w:rsidP="00986A58">
      <w:pPr>
        <w:pStyle w:val="Default"/>
        <w:jc w:val="both"/>
        <w:rPr>
          <w:sz w:val="22"/>
          <w:szCs w:val="22"/>
        </w:rPr>
      </w:pPr>
      <w:r>
        <w:rPr>
          <w:sz w:val="22"/>
          <w:szCs w:val="22"/>
        </w:rPr>
        <w:t xml:space="preserve">The learning content defined by the Minister of Education </w:t>
      </w:r>
      <w:proofErr w:type="gramStart"/>
      <w:r>
        <w:rPr>
          <w:sz w:val="22"/>
          <w:szCs w:val="22"/>
        </w:rPr>
        <w:t>is tailored</w:t>
      </w:r>
      <w:proofErr w:type="gramEnd"/>
      <w:r>
        <w:rPr>
          <w:sz w:val="22"/>
          <w:szCs w:val="22"/>
        </w:rPr>
        <w:t xml:space="preserve"> to the students’ ages and levels of development and is in line with the recommendations of experts from the World Health Organization and UNESCO. </w:t>
      </w:r>
      <w:proofErr w:type="gramStart"/>
      <w:r>
        <w:rPr>
          <w:sz w:val="22"/>
          <w:szCs w:val="22"/>
        </w:rPr>
        <w:t>The content will be taught by trained school personnel in collaboration</w:t>
      </w:r>
      <w:proofErr w:type="gramEnd"/>
      <w:r>
        <w:rPr>
          <w:sz w:val="22"/>
          <w:szCs w:val="22"/>
        </w:rPr>
        <w:t xml:space="preserve"> with partners chosen by the school (e.g.</w:t>
      </w:r>
      <w:r w:rsidR="00F52309">
        <w:rPr>
          <w:sz w:val="22"/>
          <w:szCs w:val="22"/>
        </w:rPr>
        <w:t>,</w:t>
      </w:r>
      <w:r>
        <w:rPr>
          <w:sz w:val="22"/>
          <w:szCs w:val="22"/>
        </w:rPr>
        <w:t xml:space="preserve"> health network or community organizations). The learning content takes into account contemporary issues, for example, easy access to images and messages about sexuality in the community and the use of social media. Four of the six recommended themes </w:t>
      </w:r>
      <w:proofErr w:type="gramStart"/>
      <w:r>
        <w:rPr>
          <w:sz w:val="22"/>
          <w:szCs w:val="22"/>
        </w:rPr>
        <w:t>will be covered</w:t>
      </w:r>
      <w:proofErr w:type="gramEnd"/>
      <w:r>
        <w:rPr>
          <w:sz w:val="22"/>
          <w:szCs w:val="22"/>
        </w:rPr>
        <w:t xml:space="preserve"> for the 2019-2020 school year.</w:t>
      </w:r>
    </w:p>
    <w:p w:rsidR="00A3633E" w:rsidRDefault="00A3633E" w:rsidP="00986A58">
      <w:pPr>
        <w:pStyle w:val="Default"/>
        <w:jc w:val="both"/>
        <w:rPr>
          <w:sz w:val="22"/>
          <w:szCs w:val="22"/>
        </w:rPr>
      </w:pPr>
    </w:p>
    <w:p w:rsidR="00A3633E" w:rsidRPr="00A3633E" w:rsidRDefault="00A3633E" w:rsidP="00986A58">
      <w:pPr>
        <w:pStyle w:val="Default"/>
        <w:jc w:val="both"/>
      </w:pPr>
      <w:r>
        <w:rPr>
          <w:sz w:val="22"/>
          <w:szCs w:val="22"/>
        </w:rPr>
        <w:t>The themes are as follows:</w:t>
      </w:r>
    </w:p>
    <w:tbl>
      <w:tblPr>
        <w:tblW w:w="0" w:type="auto"/>
        <w:tblInd w:w="-1080" w:type="dxa"/>
        <w:tblBorders>
          <w:top w:val="nil"/>
          <w:left w:val="nil"/>
          <w:bottom w:val="nil"/>
          <w:right w:val="nil"/>
        </w:tblBorders>
        <w:tblLayout w:type="fixed"/>
        <w:tblLook w:val="0000" w:firstRow="0" w:lastRow="0" w:firstColumn="0" w:lastColumn="0" w:noHBand="0" w:noVBand="0"/>
      </w:tblPr>
      <w:tblGrid>
        <w:gridCol w:w="2204"/>
        <w:gridCol w:w="2204"/>
        <w:gridCol w:w="2204"/>
        <w:gridCol w:w="2204"/>
      </w:tblGrid>
      <w:tr w:rsidR="00A3633E" w:rsidTr="00DD17C2">
        <w:trPr>
          <w:trHeight w:val="213"/>
        </w:trPr>
        <w:tc>
          <w:tcPr>
            <w:tcW w:w="2204" w:type="dxa"/>
          </w:tcPr>
          <w:p w:rsidR="00A3633E" w:rsidRDefault="00A3633E" w:rsidP="00A3633E">
            <w:pPr>
              <w:pStyle w:val="Default"/>
              <w:rPr>
                <w:sz w:val="32"/>
                <w:szCs w:val="32"/>
              </w:rPr>
            </w:pPr>
          </w:p>
        </w:tc>
        <w:tc>
          <w:tcPr>
            <w:tcW w:w="2204" w:type="dxa"/>
          </w:tcPr>
          <w:p w:rsidR="00A3633E" w:rsidRDefault="00A3633E">
            <w:pPr>
              <w:pStyle w:val="Default"/>
              <w:rPr>
                <w:sz w:val="22"/>
                <w:szCs w:val="22"/>
              </w:rPr>
            </w:pPr>
          </w:p>
        </w:tc>
        <w:tc>
          <w:tcPr>
            <w:tcW w:w="2204" w:type="dxa"/>
          </w:tcPr>
          <w:p w:rsidR="00A3633E" w:rsidRDefault="00A3633E">
            <w:pPr>
              <w:pStyle w:val="Default"/>
              <w:rPr>
                <w:sz w:val="22"/>
                <w:szCs w:val="22"/>
              </w:rPr>
            </w:pPr>
          </w:p>
        </w:tc>
        <w:tc>
          <w:tcPr>
            <w:tcW w:w="2204" w:type="dxa"/>
          </w:tcPr>
          <w:p w:rsidR="00A3633E" w:rsidRDefault="00A3633E">
            <w:pPr>
              <w:pStyle w:val="Default"/>
              <w:rPr>
                <w:sz w:val="22"/>
                <w:szCs w:val="22"/>
              </w:rPr>
            </w:pPr>
          </w:p>
        </w:tc>
      </w:tr>
    </w:tbl>
    <w:tbl>
      <w:tblPr>
        <w:tblStyle w:val="TableGrid"/>
        <w:tblW w:w="5618" w:type="pct"/>
        <w:jc w:val="center"/>
        <w:tblLayout w:type="fixed"/>
        <w:tblLook w:val="04A0" w:firstRow="1" w:lastRow="0" w:firstColumn="1" w:lastColumn="0" w:noHBand="0" w:noVBand="1"/>
      </w:tblPr>
      <w:tblGrid>
        <w:gridCol w:w="9394"/>
        <w:gridCol w:w="257"/>
        <w:gridCol w:w="257"/>
        <w:gridCol w:w="257"/>
        <w:gridCol w:w="257"/>
        <w:gridCol w:w="257"/>
        <w:gridCol w:w="257"/>
        <w:gridCol w:w="257"/>
      </w:tblGrid>
      <w:tr w:rsidR="00DD17C2" w:rsidRPr="00367E63" w:rsidTr="00701CDC">
        <w:trPr>
          <w:trHeight w:val="463"/>
          <w:jc w:val="center"/>
        </w:trPr>
        <w:tc>
          <w:tcPr>
            <w:tcW w:w="3658" w:type="pct"/>
            <w:vAlign w:val="center"/>
          </w:tcPr>
          <w:p w:rsidR="00DD17C2" w:rsidRPr="00DD17C2" w:rsidRDefault="00DD17C2" w:rsidP="00D315F5">
            <w:pPr>
              <w:jc w:val="center"/>
              <w:rPr>
                <w:rStyle w:val="Hyperlink"/>
                <w:color w:val="auto"/>
                <w:sz w:val="32"/>
                <w:lang w:val="en-CA"/>
              </w:rPr>
            </w:pPr>
            <w:r w:rsidRPr="00DD17C2">
              <w:rPr>
                <w:rStyle w:val="Hyperlink"/>
                <w:color w:val="auto"/>
                <w:sz w:val="32"/>
                <w:lang w:val="en-CA"/>
              </w:rPr>
              <w:t>ELEMENTARY</w:t>
            </w:r>
            <w:r w:rsidR="009920C3">
              <w:rPr>
                <w:rStyle w:val="Hyperlink"/>
                <w:color w:val="auto"/>
                <w:sz w:val="32"/>
                <w:lang w:val="en-CA"/>
              </w:rPr>
              <w:t>-Themes</w:t>
            </w:r>
          </w:p>
        </w:tc>
        <w:tc>
          <w:tcPr>
            <w:tcW w:w="100" w:type="pct"/>
            <w:vAlign w:val="center"/>
          </w:tcPr>
          <w:p w:rsidR="00DD17C2" w:rsidRPr="004124D0" w:rsidRDefault="00DD17C2" w:rsidP="00D315F5">
            <w:pPr>
              <w:jc w:val="center"/>
              <w:rPr>
                <w:rStyle w:val="Hyperlink"/>
                <w:color w:val="auto"/>
                <w:u w:val="none"/>
                <w:lang w:val="en-CA"/>
              </w:rPr>
            </w:pPr>
            <w:r w:rsidRPr="004124D0">
              <w:rPr>
                <w:rStyle w:val="Hyperlink"/>
                <w:color w:val="auto"/>
                <w:u w:val="none"/>
                <w:lang w:val="en-CA"/>
              </w:rPr>
              <w:t>K</w:t>
            </w:r>
          </w:p>
        </w:tc>
        <w:tc>
          <w:tcPr>
            <w:tcW w:w="100" w:type="pct"/>
            <w:vAlign w:val="center"/>
          </w:tcPr>
          <w:p w:rsidR="00DD17C2" w:rsidRPr="004124D0" w:rsidRDefault="00DD17C2" w:rsidP="00D315F5">
            <w:pPr>
              <w:jc w:val="center"/>
              <w:rPr>
                <w:rStyle w:val="Hyperlink"/>
                <w:color w:val="auto"/>
                <w:u w:val="none"/>
                <w:lang w:val="en-CA"/>
              </w:rPr>
            </w:pPr>
            <w:r w:rsidRPr="004124D0">
              <w:rPr>
                <w:rStyle w:val="Hyperlink"/>
                <w:color w:val="auto"/>
                <w:u w:val="none"/>
                <w:lang w:val="en-CA"/>
              </w:rPr>
              <w:t>1</w:t>
            </w:r>
          </w:p>
        </w:tc>
        <w:tc>
          <w:tcPr>
            <w:tcW w:w="100" w:type="pct"/>
            <w:vAlign w:val="center"/>
          </w:tcPr>
          <w:p w:rsidR="00DD17C2" w:rsidRPr="004124D0" w:rsidRDefault="00DD17C2" w:rsidP="00D315F5">
            <w:pPr>
              <w:jc w:val="center"/>
              <w:rPr>
                <w:rStyle w:val="Hyperlink"/>
                <w:color w:val="auto"/>
                <w:u w:val="none"/>
                <w:lang w:val="en-CA"/>
              </w:rPr>
            </w:pPr>
            <w:r w:rsidRPr="004124D0">
              <w:rPr>
                <w:rStyle w:val="Hyperlink"/>
                <w:color w:val="auto"/>
                <w:u w:val="none"/>
                <w:lang w:val="en-CA"/>
              </w:rPr>
              <w:t>2</w:t>
            </w:r>
          </w:p>
        </w:tc>
        <w:tc>
          <w:tcPr>
            <w:tcW w:w="100" w:type="pct"/>
            <w:vAlign w:val="center"/>
          </w:tcPr>
          <w:p w:rsidR="00DD17C2" w:rsidRPr="004124D0" w:rsidRDefault="00DD17C2" w:rsidP="00D315F5">
            <w:pPr>
              <w:jc w:val="center"/>
              <w:rPr>
                <w:rStyle w:val="Hyperlink"/>
                <w:color w:val="auto"/>
                <w:u w:val="none"/>
                <w:lang w:val="en-CA"/>
              </w:rPr>
            </w:pPr>
            <w:r w:rsidRPr="004124D0">
              <w:rPr>
                <w:rStyle w:val="Hyperlink"/>
                <w:color w:val="auto"/>
                <w:u w:val="none"/>
                <w:lang w:val="en-CA"/>
              </w:rPr>
              <w:t>3</w:t>
            </w:r>
          </w:p>
        </w:tc>
        <w:tc>
          <w:tcPr>
            <w:tcW w:w="100" w:type="pct"/>
            <w:vAlign w:val="center"/>
          </w:tcPr>
          <w:p w:rsidR="00DD17C2" w:rsidRPr="004124D0" w:rsidRDefault="00DD17C2" w:rsidP="00D315F5">
            <w:pPr>
              <w:jc w:val="center"/>
              <w:rPr>
                <w:rStyle w:val="Hyperlink"/>
                <w:color w:val="auto"/>
                <w:u w:val="none"/>
                <w:lang w:val="en-CA"/>
              </w:rPr>
            </w:pPr>
            <w:r w:rsidRPr="004124D0">
              <w:rPr>
                <w:rStyle w:val="Hyperlink"/>
                <w:color w:val="auto"/>
                <w:u w:val="none"/>
                <w:lang w:val="en-CA"/>
              </w:rPr>
              <w:t>4</w:t>
            </w:r>
          </w:p>
        </w:tc>
        <w:tc>
          <w:tcPr>
            <w:tcW w:w="100" w:type="pct"/>
            <w:vAlign w:val="center"/>
          </w:tcPr>
          <w:p w:rsidR="00DD17C2" w:rsidRPr="004124D0" w:rsidRDefault="00DD17C2" w:rsidP="00D315F5">
            <w:pPr>
              <w:jc w:val="center"/>
              <w:rPr>
                <w:rStyle w:val="Hyperlink"/>
                <w:color w:val="auto"/>
                <w:u w:val="none"/>
                <w:lang w:val="en-CA"/>
              </w:rPr>
            </w:pPr>
            <w:r w:rsidRPr="004124D0">
              <w:rPr>
                <w:rStyle w:val="Hyperlink"/>
                <w:color w:val="auto"/>
                <w:u w:val="none"/>
                <w:lang w:val="en-CA"/>
              </w:rPr>
              <w:t>5</w:t>
            </w:r>
          </w:p>
        </w:tc>
        <w:tc>
          <w:tcPr>
            <w:tcW w:w="100" w:type="pct"/>
            <w:vAlign w:val="center"/>
          </w:tcPr>
          <w:p w:rsidR="00DD17C2" w:rsidRPr="004124D0" w:rsidRDefault="00DD17C2" w:rsidP="00D315F5">
            <w:pPr>
              <w:jc w:val="center"/>
              <w:rPr>
                <w:rStyle w:val="Hyperlink"/>
                <w:color w:val="auto"/>
                <w:u w:val="none"/>
                <w:lang w:val="en-CA"/>
              </w:rPr>
            </w:pPr>
            <w:r w:rsidRPr="004124D0">
              <w:rPr>
                <w:rStyle w:val="Hyperlink"/>
                <w:color w:val="auto"/>
                <w:u w:val="none"/>
                <w:lang w:val="en-CA"/>
              </w:rPr>
              <w:t>6</w:t>
            </w:r>
          </w:p>
        </w:tc>
      </w:tr>
      <w:tr w:rsidR="00DD17C2" w:rsidTr="00701CDC">
        <w:trPr>
          <w:trHeight w:val="774"/>
          <w:jc w:val="center"/>
        </w:trPr>
        <w:tc>
          <w:tcPr>
            <w:tcW w:w="3658" w:type="pct"/>
          </w:tcPr>
          <w:p w:rsidR="00DD17C2" w:rsidRPr="00DD17C2" w:rsidRDefault="00DD17C2" w:rsidP="00D315F5">
            <w:pPr>
              <w:pStyle w:val="NoSpacing"/>
              <w:rPr>
                <w:rStyle w:val="Hyperlink"/>
                <w:b/>
                <w:color w:val="auto"/>
                <w:lang w:val="en-CA"/>
              </w:rPr>
            </w:pPr>
            <w:r w:rsidRPr="00DD17C2">
              <w:rPr>
                <w:rStyle w:val="Hyperlink"/>
                <w:b/>
                <w:color w:val="auto"/>
                <w:lang w:val="en-CA"/>
              </w:rPr>
              <w:t>Pregnancy and Birth</w:t>
            </w:r>
          </w:p>
          <w:p w:rsidR="00DD17C2" w:rsidRPr="00DD17C2" w:rsidRDefault="00DD17C2" w:rsidP="00D315F5">
            <w:pPr>
              <w:pStyle w:val="NoSpacing"/>
              <w:rPr>
                <w:rStyle w:val="Hyperlink"/>
                <w:b/>
                <w:color w:val="auto"/>
                <w:lang w:val="en-US"/>
              </w:rPr>
            </w:pPr>
            <w:r w:rsidRPr="00DD17C2">
              <w:rPr>
                <w:lang w:val="en-US"/>
              </w:rPr>
              <w:t>Name and explain the steps involved in welcoming a baby into a family</w:t>
            </w:r>
          </w:p>
        </w:tc>
        <w:tc>
          <w:tcPr>
            <w:tcW w:w="100" w:type="pct"/>
            <w:vAlign w:val="center"/>
          </w:tcPr>
          <w:p w:rsidR="00DD17C2" w:rsidRPr="00701CDC" w:rsidRDefault="00DD17C2" w:rsidP="00701CDC">
            <w:pPr>
              <w:jc w:val="center"/>
              <w:rPr>
                <w:rStyle w:val="Hyperlink"/>
                <w:b/>
                <w:sz w:val="28"/>
                <w:lang w:val="en-CA"/>
              </w:rPr>
            </w:pPr>
          </w:p>
        </w:tc>
        <w:tc>
          <w:tcPr>
            <w:tcW w:w="100" w:type="pct"/>
            <w:vAlign w:val="center"/>
          </w:tcPr>
          <w:p w:rsidR="00DD17C2" w:rsidRPr="00701CDC" w:rsidRDefault="00DD17C2" w:rsidP="00701CDC">
            <w:pPr>
              <w:jc w:val="center"/>
              <w:rPr>
                <w:rStyle w:val="Hyperlink"/>
                <w:b/>
                <w:sz w:val="28"/>
                <w:lang w:val="en-CA"/>
              </w:rPr>
            </w:pPr>
          </w:p>
        </w:tc>
        <w:tc>
          <w:tcPr>
            <w:tcW w:w="100" w:type="pct"/>
            <w:vAlign w:val="center"/>
          </w:tcPr>
          <w:p w:rsidR="00DD17C2" w:rsidRPr="00701CDC" w:rsidRDefault="00DD17C2" w:rsidP="00701CDC">
            <w:pPr>
              <w:jc w:val="center"/>
              <w:rPr>
                <w:rStyle w:val="Hyperlink"/>
                <w:b/>
                <w:sz w:val="28"/>
                <w:lang w:val="en-CA"/>
              </w:rPr>
            </w:pPr>
          </w:p>
        </w:tc>
        <w:tc>
          <w:tcPr>
            <w:tcW w:w="100" w:type="pct"/>
            <w:vAlign w:val="center"/>
          </w:tcPr>
          <w:p w:rsidR="00DD17C2" w:rsidRPr="00701CDC" w:rsidRDefault="00DD17C2" w:rsidP="00701CDC">
            <w:pPr>
              <w:jc w:val="center"/>
              <w:rPr>
                <w:rStyle w:val="Hyperlink"/>
                <w:sz w:val="28"/>
                <w:lang w:val="en-CA"/>
              </w:rPr>
            </w:pPr>
          </w:p>
        </w:tc>
        <w:tc>
          <w:tcPr>
            <w:tcW w:w="100" w:type="pct"/>
            <w:vAlign w:val="center"/>
          </w:tcPr>
          <w:p w:rsidR="00DD17C2" w:rsidRPr="00701CDC" w:rsidRDefault="00DD17C2" w:rsidP="00701CDC">
            <w:pPr>
              <w:jc w:val="center"/>
              <w:rPr>
                <w:rStyle w:val="Hyperlink"/>
                <w:b/>
                <w:sz w:val="28"/>
                <w:lang w:val="en-CA"/>
              </w:rPr>
            </w:pPr>
          </w:p>
        </w:tc>
        <w:tc>
          <w:tcPr>
            <w:tcW w:w="100" w:type="pct"/>
            <w:vAlign w:val="center"/>
          </w:tcPr>
          <w:p w:rsidR="00DD17C2" w:rsidRPr="00701CDC" w:rsidRDefault="00DD17C2" w:rsidP="00701CDC">
            <w:pPr>
              <w:jc w:val="center"/>
              <w:rPr>
                <w:rStyle w:val="Hyperlink"/>
                <w:b/>
                <w:sz w:val="28"/>
                <w:lang w:val="en-CA"/>
              </w:rPr>
            </w:pPr>
          </w:p>
        </w:tc>
        <w:tc>
          <w:tcPr>
            <w:tcW w:w="100" w:type="pct"/>
            <w:vAlign w:val="center"/>
          </w:tcPr>
          <w:p w:rsidR="00DD17C2" w:rsidRPr="00701CDC" w:rsidRDefault="00DD17C2" w:rsidP="00701CDC">
            <w:pPr>
              <w:jc w:val="center"/>
              <w:rPr>
                <w:rStyle w:val="Hyperlink"/>
                <w:b/>
                <w:sz w:val="28"/>
                <w:lang w:val="en-CA"/>
              </w:rPr>
            </w:pPr>
          </w:p>
        </w:tc>
      </w:tr>
      <w:tr w:rsidR="00DD17C2" w:rsidTr="00701CDC">
        <w:trPr>
          <w:trHeight w:val="774"/>
          <w:jc w:val="center"/>
        </w:trPr>
        <w:tc>
          <w:tcPr>
            <w:tcW w:w="3658" w:type="pct"/>
          </w:tcPr>
          <w:p w:rsidR="00DD17C2" w:rsidRPr="00DD17C2" w:rsidRDefault="00DD17C2" w:rsidP="00D315F5">
            <w:pPr>
              <w:pStyle w:val="NoSpacing"/>
              <w:rPr>
                <w:rStyle w:val="Hyperlink"/>
                <w:b/>
                <w:color w:val="auto"/>
                <w:lang w:val="en-CA"/>
              </w:rPr>
            </w:pPr>
            <w:r w:rsidRPr="00DD17C2">
              <w:rPr>
                <w:rStyle w:val="Hyperlink"/>
                <w:b/>
                <w:color w:val="auto"/>
                <w:lang w:val="en-CA"/>
              </w:rPr>
              <w:t xml:space="preserve">Sexual Growth and body image: </w:t>
            </w:r>
          </w:p>
          <w:p w:rsidR="00DD17C2" w:rsidRPr="00DD17C2" w:rsidRDefault="00DD17C2" w:rsidP="00D315F5">
            <w:pPr>
              <w:pStyle w:val="NoSpacing"/>
              <w:rPr>
                <w:rStyle w:val="Hyperlink"/>
                <w:color w:val="auto"/>
                <w:lang w:val="en-US"/>
              </w:rPr>
            </w:pPr>
            <w:r w:rsidRPr="00DD17C2">
              <w:rPr>
                <w:lang w:val="en-US"/>
              </w:rPr>
              <w:t>Knowing your body, appreciating and taking care of it, understanding</w:t>
            </w:r>
            <w:r w:rsidRPr="00DD17C2">
              <w:rPr>
                <w:spacing w:val="-7"/>
                <w:lang w:val="en-US"/>
              </w:rPr>
              <w:t xml:space="preserve"> </w:t>
            </w:r>
            <w:r w:rsidRPr="00DD17C2">
              <w:rPr>
                <w:lang w:val="en-US"/>
              </w:rPr>
              <w:t>puberty.</w:t>
            </w:r>
          </w:p>
        </w:tc>
        <w:tc>
          <w:tcPr>
            <w:tcW w:w="100" w:type="pct"/>
            <w:vAlign w:val="center"/>
          </w:tcPr>
          <w:p w:rsidR="00DD17C2" w:rsidRPr="00701CDC" w:rsidRDefault="009920C3" w:rsidP="00701CDC">
            <w:pPr>
              <w:jc w:val="center"/>
              <w:rPr>
                <w:rStyle w:val="Hyperlink"/>
                <w:color w:val="auto"/>
                <w:sz w:val="28"/>
                <w:u w:val="none"/>
                <w:lang w:val="en-CA"/>
              </w:rPr>
            </w:pPr>
            <w:r w:rsidRPr="00701CDC">
              <w:rPr>
                <w:rStyle w:val="Hyperlink"/>
                <w:color w:val="auto"/>
                <w:sz w:val="28"/>
                <w:u w:val="none"/>
                <w:lang w:val="en-CA"/>
              </w:rPr>
              <w:t>x</w:t>
            </w:r>
          </w:p>
        </w:tc>
        <w:tc>
          <w:tcPr>
            <w:tcW w:w="100" w:type="pct"/>
            <w:vAlign w:val="center"/>
          </w:tcPr>
          <w:p w:rsidR="00DD17C2" w:rsidRPr="00701CDC" w:rsidRDefault="00DD17C2" w:rsidP="00701CDC">
            <w:pPr>
              <w:jc w:val="center"/>
              <w:rPr>
                <w:rStyle w:val="Hyperlink"/>
                <w:color w:val="auto"/>
                <w:sz w:val="28"/>
                <w:u w:val="none"/>
                <w:lang w:val="en-CA"/>
              </w:rPr>
            </w:pPr>
          </w:p>
        </w:tc>
        <w:tc>
          <w:tcPr>
            <w:tcW w:w="100" w:type="pct"/>
            <w:vAlign w:val="center"/>
          </w:tcPr>
          <w:p w:rsidR="00DD17C2" w:rsidRPr="00701CDC" w:rsidRDefault="009920C3" w:rsidP="00701CDC">
            <w:pPr>
              <w:jc w:val="center"/>
              <w:rPr>
                <w:rStyle w:val="Hyperlink"/>
                <w:color w:val="auto"/>
                <w:sz w:val="28"/>
                <w:u w:val="none"/>
                <w:lang w:val="en-CA"/>
              </w:rPr>
            </w:pPr>
            <w:r w:rsidRPr="00701CDC">
              <w:rPr>
                <w:rStyle w:val="Hyperlink"/>
                <w:color w:val="auto"/>
                <w:sz w:val="28"/>
                <w:u w:val="none"/>
                <w:lang w:val="en-CA"/>
              </w:rPr>
              <w:t>x</w:t>
            </w:r>
          </w:p>
        </w:tc>
        <w:tc>
          <w:tcPr>
            <w:tcW w:w="100" w:type="pct"/>
            <w:vAlign w:val="center"/>
          </w:tcPr>
          <w:p w:rsidR="00DD17C2" w:rsidRPr="00701CDC" w:rsidRDefault="00DD17C2" w:rsidP="00701CDC">
            <w:pPr>
              <w:jc w:val="center"/>
              <w:rPr>
                <w:rStyle w:val="Hyperlink"/>
                <w:color w:val="auto"/>
                <w:sz w:val="28"/>
                <w:u w:val="none"/>
                <w:lang w:val="en-CA"/>
              </w:rPr>
            </w:pPr>
          </w:p>
        </w:tc>
        <w:tc>
          <w:tcPr>
            <w:tcW w:w="100" w:type="pct"/>
            <w:vAlign w:val="center"/>
          </w:tcPr>
          <w:p w:rsidR="00DD17C2" w:rsidRPr="00701CDC" w:rsidRDefault="009920C3" w:rsidP="00701CDC">
            <w:pPr>
              <w:jc w:val="center"/>
              <w:rPr>
                <w:rStyle w:val="Hyperlink"/>
                <w:color w:val="auto"/>
                <w:sz w:val="28"/>
                <w:u w:val="none"/>
                <w:lang w:val="en-CA"/>
              </w:rPr>
            </w:pPr>
            <w:r w:rsidRPr="00701CDC">
              <w:rPr>
                <w:rStyle w:val="Hyperlink"/>
                <w:color w:val="auto"/>
                <w:sz w:val="28"/>
                <w:u w:val="none"/>
                <w:lang w:val="en-CA"/>
              </w:rPr>
              <w:t>x</w:t>
            </w:r>
          </w:p>
        </w:tc>
        <w:tc>
          <w:tcPr>
            <w:tcW w:w="100" w:type="pct"/>
            <w:vAlign w:val="center"/>
          </w:tcPr>
          <w:p w:rsidR="00DD17C2" w:rsidRPr="00701CDC" w:rsidRDefault="009920C3" w:rsidP="00701CDC">
            <w:pPr>
              <w:jc w:val="center"/>
              <w:rPr>
                <w:rStyle w:val="Hyperlink"/>
                <w:color w:val="auto"/>
                <w:sz w:val="28"/>
                <w:u w:val="none"/>
                <w:lang w:val="en-CA"/>
              </w:rPr>
            </w:pPr>
            <w:r w:rsidRPr="00701CDC">
              <w:rPr>
                <w:rStyle w:val="Hyperlink"/>
                <w:color w:val="auto"/>
                <w:sz w:val="28"/>
                <w:u w:val="none"/>
                <w:lang w:val="en-CA"/>
              </w:rPr>
              <w:t>x</w:t>
            </w:r>
          </w:p>
        </w:tc>
        <w:tc>
          <w:tcPr>
            <w:tcW w:w="100" w:type="pct"/>
            <w:vAlign w:val="center"/>
          </w:tcPr>
          <w:p w:rsidR="00DD17C2" w:rsidRPr="00701CDC" w:rsidRDefault="009920C3" w:rsidP="00701CDC">
            <w:pPr>
              <w:jc w:val="center"/>
              <w:rPr>
                <w:rStyle w:val="Hyperlink"/>
                <w:color w:val="auto"/>
                <w:sz w:val="28"/>
                <w:u w:val="none"/>
                <w:lang w:val="en-CA"/>
              </w:rPr>
            </w:pPr>
            <w:r w:rsidRPr="00701CDC">
              <w:rPr>
                <w:rStyle w:val="Hyperlink"/>
                <w:color w:val="auto"/>
                <w:sz w:val="28"/>
                <w:u w:val="none"/>
                <w:lang w:val="en-CA"/>
              </w:rPr>
              <w:t>x</w:t>
            </w:r>
          </w:p>
        </w:tc>
      </w:tr>
      <w:tr w:rsidR="00DD17C2" w:rsidTr="00701CDC">
        <w:trPr>
          <w:trHeight w:val="827"/>
          <w:jc w:val="center"/>
        </w:trPr>
        <w:tc>
          <w:tcPr>
            <w:tcW w:w="3658" w:type="pct"/>
            <w:vAlign w:val="center"/>
          </w:tcPr>
          <w:p w:rsidR="00DD17C2" w:rsidRPr="00DD17C2" w:rsidRDefault="00DD17C2" w:rsidP="00D315F5">
            <w:pPr>
              <w:rPr>
                <w:b/>
                <w:lang w:val="en-US"/>
              </w:rPr>
            </w:pPr>
            <w:r w:rsidRPr="00DD17C2">
              <w:rPr>
                <w:b/>
                <w:lang w:val="en-US"/>
              </w:rPr>
              <w:t>Comprehensive view of sexuality :</w:t>
            </w:r>
          </w:p>
          <w:p w:rsidR="00DD17C2" w:rsidRPr="00DD17C2" w:rsidRDefault="00DD17C2" w:rsidP="00D315F5">
            <w:pPr>
              <w:tabs>
                <w:tab w:val="left" w:pos="2080"/>
                <w:tab w:val="left" w:pos="2081"/>
              </w:tabs>
              <w:spacing w:before="7" w:line="266" w:lineRule="exact"/>
              <w:ind w:right="1400"/>
              <w:rPr>
                <w:rStyle w:val="Hyperlink"/>
                <w:color w:val="auto"/>
                <w:lang w:val="en-US"/>
              </w:rPr>
            </w:pPr>
            <w:r w:rsidRPr="00DD17C2">
              <w:rPr>
                <w:lang w:val="en-US"/>
              </w:rPr>
              <w:t>sexuality is at the core of who we are and has a number of dimensions (e.g. physical, psychological, affective,</w:t>
            </w:r>
            <w:r w:rsidRPr="00DD17C2">
              <w:rPr>
                <w:spacing w:val="-29"/>
                <w:lang w:val="en-US"/>
              </w:rPr>
              <w:t xml:space="preserve"> </w:t>
            </w:r>
            <w:r w:rsidRPr="00DD17C2">
              <w:rPr>
                <w:lang w:val="en-US"/>
              </w:rPr>
              <w:t xml:space="preserve">socio-cultural) </w:t>
            </w:r>
          </w:p>
        </w:tc>
        <w:tc>
          <w:tcPr>
            <w:tcW w:w="100" w:type="pct"/>
            <w:vAlign w:val="center"/>
          </w:tcPr>
          <w:p w:rsidR="00DD17C2" w:rsidRPr="00701CDC" w:rsidRDefault="00DD17C2" w:rsidP="00701CDC">
            <w:pPr>
              <w:jc w:val="center"/>
              <w:rPr>
                <w:rStyle w:val="Hyperlink"/>
                <w:color w:val="auto"/>
                <w:sz w:val="28"/>
                <w:u w:val="none"/>
                <w:lang w:val="en-CA"/>
              </w:rPr>
            </w:pPr>
          </w:p>
        </w:tc>
        <w:tc>
          <w:tcPr>
            <w:tcW w:w="100" w:type="pct"/>
            <w:vAlign w:val="center"/>
          </w:tcPr>
          <w:p w:rsidR="00DD17C2" w:rsidRPr="00701CDC" w:rsidRDefault="009920C3" w:rsidP="00701CDC">
            <w:pPr>
              <w:jc w:val="center"/>
              <w:rPr>
                <w:rStyle w:val="Hyperlink"/>
                <w:color w:val="auto"/>
                <w:sz w:val="28"/>
                <w:u w:val="none"/>
                <w:lang w:val="en-CA"/>
              </w:rPr>
            </w:pPr>
            <w:r w:rsidRPr="00701CDC">
              <w:rPr>
                <w:rStyle w:val="Hyperlink"/>
                <w:color w:val="auto"/>
                <w:sz w:val="28"/>
                <w:u w:val="none"/>
                <w:lang w:val="en-CA"/>
              </w:rPr>
              <w:t>x</w:t>
            </w:r>
          </w:p>
        </w:tc>
        <w:tc>
          <w:tcPr>
            <w:tcW w:w="100" w:type="pct"/>
            <w:vAlign w:val="center"/>
          </w:tcPr>
          <w:p w:rsidR="00DD17C2" w:rsidRPr="00701CDC" w:rsidRDefault="00DD17C2" w:rsidP="00701CDC">
            <w:pPr>
              <w:jc w:val="center"/>
              <w:rPr>
                <w:rStyle w:val="Hyperlink"/>
                <w:color w:val="auto"/>
                <w:sz w:val="28"/>
                <w:u w:val="none"/>
                <w:lang w:val="en-CA"/>
              </w:rPr>
            </w:pPr>
          </w:p>
        </w:tc>
        <w:tc>
          <w:tcPr>
            <w:tcW w:w="100" w:type="pct"/>
            <w:vAlign w:val="center"/>
          </w:tcPr>
          <w:p w:rsidR="00DD17C2" w:rsidRPr="00701CDC" w:rsidRDefault="009920C3" w:rsidP="00701CDC">
            <w:pPr>
              <w:jc w:val="center"/>
              <w:rPr>
                <w:rStyle w:val="Hyperlink"/>
                <w:color w:val="auto"/>
                <w:sz w:val="28"/>
                <w:u w:val="none"/>
                <w:lang w:val="en-CA"/>
              </w:rPr>
            </w:pPr>
            <w:r w:rsidRPr="00701CDC">
              <w:rPr>
                <w:rStyle w:val="Hyperlink"/>
                <w:color w:val="auto"/>
                <w:sz w:val="28"/>
                <w:u w:val="none"/>
                <w:lang w:val="en-CA"/>
              </w:rPr>
              <w:t>x</w:t>
            </w:r>
          </w:p>
        </w:tc>
        <w:tc>
          <w:tcPr>
            <w:tcW w:w="100" w:type="pct"/>
            <w:vAlign w:val="center"/>
          </w:tcPr>
          <w:p w:rsidR="00DD17C2" w:rsidRPr="00701CDC" w:rsidRDefault="00DD17C2" w:rsidP="00701CDC">
            <w:pPr>
              <w:jc w:val="center"/>
              <w:rPr>
                <w:rStyle w:val="Hyperlink"/>
                <w:color w:val="auto"/>
                <w:sz w:val="28"/>
                <w:u w:val="none"/>
                <w:lang w:val="en-CA"/>
              </w:rPr>
            </w:pPr>
          </w:p>
        </w:tc>
        <w:tc>
          <w:tcPr>
            <w:tcW w:w="100" w:type="pct"/>
            <w:vAlign w:val="center"/>
          </w:tcPr>
          <w:p w:rsidR="00DD17C2" w:rsidRPr="00701CDC" w:rsidRDefault="00DD17C2" w:rsidP="00701CDC">
            <w:pPr>
              <w:jc w:val="center"/>
              <w:rPr>
                <w:rStyle w:val="Hyperlink"/>
                <w:color w:val="auto"/>
                <w:sz w:val="28"/>
                <w:u w:val="none"/>
                <w:lang w:val="en-CA"/>
              </w:rPr>
            </w:pPr>
          </w:p>
        </w:tc>
        <w:tc>
          <w:tcPr>
            <w:tcW w:w="100" w:type="pct"/>
            <w:vAlign w:val="center"/>
          </w:tcPr>
          <w:p w:rsidR="00DD17C2" w:rsidRPr="00701CDC" w:rsidRDefault="00DD17C2" w:rsidP="00701CDC">
            <w:pPr>
              <w:jc w:val="center"/>
              <w:rPr>
                <w:rStyle w:val="Hyperlink"/>
                <w:color w:val="auto"/>
                <w:sz w:val="28"/>
                <w:u w:val="none"/>
                <w:lang w:val="en-CA"/>
              </w:rPr>
            </w:pPr>
          </w:p>
        </w:tc>
      </w:tr>
      <w:tr w:rsidR="00DD17C2" w:rsidTr="00701CDC">
        <w:trPr>
          <w:trHeight w:val="827"/>
          <w:jc w:val="center"/>
        </w:trPr>
        <w:tc>
          <w:tcPr>
            <w:tcW w:w="3658" w:type="pct"/>
            <w:vAlign w:val="center"/>
          </w:tcPr>
          <w:p w:rsidR="00DD17C2" w:rsidRPr="00DD17C2" w:rsidRDefault="00DD17C2" w:rsidP="00D315F5">
            <w:pPr>
              <w:pStyle w:val="NoSpacing"/>
              <w:rPr>
                <w:b/>
                <w:lang w:val="en-CA"/>
              </w:rPr>
            </w:pPr>
            <w:r w:rsidRPr="00DD17C2">
              <w:rPr>
                <w:b/>
                <w:lang w:val="en-CA"/>
              </w:rPr>
              <w:t>Emotional and Romantic Life:</w:t>
            </w:r>
          </w:p>
          <w:p w:rsidR="00DD17C2" w:rsidRPr="00DD17C2" w:rsidRDefault="00DD17C2" w:rsidP="00D315F5">
            <w:pPr>
              <w:pStyle w:val="NoSpacing"/>
              <w:rPr>
                <w:rStyle w:val="Hyperlink"/>
                <w:color w:val="auto"/>
                <w:lang w:val="en-CA"/>
              </w:rPr>
            </w:pPr>
            <w:r w:rsidRPr="00DD17C2">
              <w:rPr>
                <w:lang w:val="en-US"/>
              </w:rPr>
              <w:t>friendship, expressing your feelings, new feelings that come with puberty,</w:t>
            </w:r>
            <w:r w:rsidRPr="00DD17C2">
              <w:rPr>
                <w:spacing w:val="-5"/>
                <w:lang w:val="en-US"/>
              </w:rPr>
              <w:t xml:space="preserve"> </w:t>
            </w:r>
            <w:r w:rsidRPr="00DD17C2">
              <w:rPr>
                <w:lang w:val="en-US"/>
              </w:rPr>
              <w:t>etc.</w:t>
            </w:r>
          </w:p>
        </w:tc>
        <w:tc>
          <w:tcPr>
            <w:tcW w:w="100" w:type="pct"/>
            <w:vAlign w:val="center"/>
          </w:tcPr>
          <w:p w:rsidR="00DD17C2" w:rsidRPr="00701CDC" w:rsidRDefault="00DD17C2" w:rsidP="00701CDC">
            <w:pPr>
              <w:jc w:val="center"/>
              <w:rPr>
                <w:rStyle w:val="Hyperlink"/>
                <w:color w:val="auto"/>
                <w:sz w:val="28"/>
                <w:u w:val="none"/>
                <w:lang w:val="en-CA"/>
              </w:rPr>
            </w:pPr>
          </w:p>
        </w:tc>
        <w:tc>
          <w:tcPr>
            <w:tcW w:w="100" w:type="pct"/>
            <w:vAlign w:val="center"/>
          </w:tcPr>
          <w:p w:rsidR="00DD17C2" w:rsidRPr="00701CDC" w:rsidRDefault="00DD17C2" w:rsidP="00701CDC">
            <w:pPr>
              <w:jc w:val="center"/>
              <w:rPr>
                <w:rStyle w:val="Hyperlink"/>
                <w:color w:val="auto"/>
                <w:sz w:val="28"/>
                <w:u w:val="none"/>
                <w:lang w:val="en-CA"/>
              </w:rPr>
            </w:pPr>
          </w:p>
        </w:tc>
        <w:tc>
          <w:tcPr>
            <w:tcW w:w="100" w:type="pct"/>
            <w:vAlign w:val="center"/>
          </w:tcPr>
          <w:p w:rsidR="00DD17C2" w:rsidRPr="00701CDC" w:rsidRDefault="009920C3" w:rsidP="00701CDC">
            <w:pPr>
              <w:jc w:val="center"/>
              <w:rPr>
                <w:rStyle w:val="Hyperlink"/>
                <w:color w:val="auto"/>
                <w:sz w:val="28"/>
                <w:u w:val="none"/>
                <w:lang w:val="en-CA"/>
              </w:rPr>
            </w:pPr>
            <w:r w:rsidRPr="00701CDC">
              <w:rPr>
                <w:rStyle w:val="Hyperlink"/>
                <w:color w:val="auto"/>
                <w:sz w:val="28"/>
                <w:u w:val="none"/>
                <w:lang w:val="en-CA"/>
              </w:rPr>
              <w:t>x</w:t>
            </w:r>
          </w:p>
        </w:tc>
        <w:tc>
          <w:tcPr>
            <w:tcW w:w="100" w:type="pct"/>
            <w:vAlign w:val="center"/>
          </w:tcPr>
          <w:p w:rsidR="00DD17C2" w:rsidRPr="00701CDC" w:rsidRDefault="00DD17C2" w:rsidP="00701CDC">
            <w:pPr>
              <w:jc w:val="center"/>
              <w:rPr>
                <w:rStyle w:val="Hyperlink"/>
                <w:color w:val="auto"/>
                <w:sz w:val="28"/>
                <w:u w:val="none"/>
                <w:lang w:val="en-CA"/>
              </w:rPr>
            </w:pPr>
          </w:p>
        </w:tc>
        <w:tc>
          <w:tcPr>
            <w:tcW w:w="100" w:type="pct"/>
            <w:vAlign w:val="center"/>
          </w:tcPr>
          <w:p w:rsidR="00DD17C2" w:rsidRPr="00701CDC" w:rsidRDefault="009920C3" w:rsidP="00701CDC">
            <w:pPr>
              <w:jc w:val="center"/>
              <w:rPr>
                <w:rStyle w:val="Hyperlink"/>
                <w:color w:val="auto"/>
                <w:sz w:val="28"/>
                <w:u w:val="none"/>
                <w:lang w:val="en-CA"/>
              </w:rPr>
            </w:pPr>
            <w:r w:rsidRPr="00701CDC">
              <w:rPr>
                <w:rStyle w:val="Hyperlink"/>
                <w:color w:val="auto"/>
                <w:sz w:val="28"/>
                <w:u w:val="none"/>
                <w:lang w:val="en-CA"/>
              </w:rPr>
              <w:t>x</w:t>
            </w:r>
          </w:p>
        </w:tc>
        <w:tc>
          <w:tcPr>
            <w:tcW w:w="100" w:type="pct"/>
            <w:vAlign w:val="center"/>
          </w:tcPr>
          <w:p w:rsidR="00DD17C2" w:rsidRPr="00701CDC" w:rsidRDefault="00DD17C2" w:rsidP="00701CDC">
            <w:pPr>
              <w:jc w:val="center"/>
              <w:rPr>
                <w:rStyle w:val="Hyperlink"/>
                <w:color w:val="auto"/>
                <w:sz w:val="28"/>
                <w:u w:val="none"/>
                <w:lang w:val="en-CA"/>
              </w:rPr>
            </w:pPr>
          </w:p>
        </w:tc>
        <w:tc>
          <w:tcPr>
            <w:tcW w:w="100" w:type="pct"/>
            <w:vAlign w:val="center"/>
          </w:tcPr>
          <w:p w:rsidR="00DD17C2" w:rsidRPr="00701CDC" w:rsidRDefault="009920C3" w:rsidP="00701CDC">
            <w:pPr>
              <w:jc w:val="center"/>
              <w:rPr>
                <w:rStyle w:val="Hyperlink"/>
                <w:color w:val="auto"/>
                <w:sz w:val="28"/>
                <w:u w:val="none"/>
                <w:lang w:val="en-CA"/>
              </w:rPr>
            </w:pPr>
            <w:r w:rsidRPr="00701CDC">
              <w:rPr>
                <w:rStyle w:val="Hyperlink"/>
                <w:color w:val="auto"/>
                <w:sz w:val="28"/>
                <w:u w:val="none"/>
                <w:lang w:val="en-CA"/>
              </w:rPr>
              <w:t>x</w:t>
            </w:r>
          </w:p>
        </w:tc>
      </w:tr>
      <w:tr w:rsidR="00DD17C2" w:rsidTr="00701CDC">
        <w:trPr>
          <w:trHeight w:val="946"/>
          <w:jc w:val="center"/>
        </w:trPr>
        <w:tc>
          <w:tcPr>
            <w:tcW w:w="3658" w:type="pct"/>
          </w:tcPr>
          <w:p w:rsidR="00DD17C2" w:rsidRPr="00DD17C2" w:rsidRDefault="00DD17C2" w:rsidP="00D315F5">
            <w:pPr>
              <w:pStyle w:val="NoSpacing"/>
              <w:rPr>
                <w:b/>
                <w:lang w:val="en-CA"/>
              </w:rPr>
            </w:pPr>
            <w:r w:rsidRPr="00DD17C2">
              <w:rPr>
                <w:b/>
                <w:lang w:val="en-CA"/>
              </w:rPr>
              <w:t>Sexual Assault Prevention:</w:t>
            </w:r>
          </w:p>
          <w:p w:rsidR="00DD17C2" w:rsidRPr="00DD17C2" w:rsidRDefault="00DD17C2" w:rsidP="00D315F5">
            <w:pPr>
              <w:pStyle w:val="NoSpacing"/>
              <w:rPr>
                <w:rStyle w:val="Hyperlink"/>
                <w:color w:val="auto"/>
                <w:lang w:val="en-US"/>
              </w:rPr>
            </w:pPr>
            <w:r w:rsidRPr="00DD17C2">
              <w:rPr>
                <w:lang w:val="en-US"/>
              </w:rPr>
              <w:t>Safety rules, strategies for protecting yourself and the importance of reporting an incident of sexual assault to an</w:t>
            </w:r>
            <w:r w:rsidRPr="00DD17C2">
              <w:rPr>
                <w:spacing w:val="-22"/>
                <w:lang w:val="en-US"/>
              </w:rPr>
              <w:t xml:space="preserve"> </w:t>
            </w:r>
            <w:r w:rsidRPr="00DD17C2">
              <w:rPr>
                <w:lang w:val="en-US"/>
              </w:rPr>
              <w:t>adult.</w:t>
            </w:r>
          </w:p>
        </w:tc>
        <w:tc>
          <w:tcPr>
            <w:tcW w:w="100" w:type="pct"/>
            <w:vAlign w:val="center"/>
          </w:tcPr>
          <w:p w:rsidR="00DD17C2" w:rsidRPr="00701CDC" w:rsidRDefault="00DD17C2" w:rsidP="00701CDC">
            <w:pPr>
              <w:jc w:val="center"/>
              <w:rPr>
                <w:rStyle w:val="Hyperlink"/>
                <w:color w:val="auto"/>
                <w:sz w:val="28"/>
                <w:u w:val="none"/>
                <w:lang w:val="en-CA"/>
              </w:rPr>
            </w:pPr>
          </w:p>
        </w:tc>
        <w:tc>
          <w:tcPr>
            <w:tcW w:w="100" w:type="pct"/>
            <w:vAlign w:val="center"/>
          </w:tcPr>
          <w:p w:rsidR="00DD17C2" w:rsidRPr="00701CDC" w:rsidRDefault="009920C3" w:rsidP="00701CDC">
            <w:pPr>
              <w:jc w:val="center"/>
              <w:rPr>
                <w:rStyle w:val="Hyperlink"/>
                <w:color w:val="auto"/>
                <w:sz w:val="28"/>
                <w:u w:val="none"/>
                <w:lang w:val="en-CA"/>
              </w:rPr>
            </w:pPr>
            <w:r w:rsidRPr="00701CDC">
              <w:rPr>
                <w:rStyle w:val="Hyperlink"/>
                <w:color w:val="auto"/>
                <w:sz w:val="28"/>
                <w:u w:val="none"/>
                <w:lang w:val="en-CA"/>
              </w:rPr>
              <w:t>x</w:t>
            </w:r>
          </w:p>
        </w:tc>
        <w:tc>
          <w:tcPr>
            <w:tcW w:w="100" w:type="pct"/>
            <w:vAlign w:val="center"/>
          </w:tcPr>
          <w:p w:rsidR="00DD17C2" w:rsidRPr="00701CDC" w:rsidRDefault="00DD17C2" w:rsidP="00701CDC">
            <w:pPr>
              <w:jc w:val="center"/>
              <w:rPr>
                <w:rStyle w:val="Hyperlink"/>
                <w:color w:val="auto"/>
                <w:sz w:val="28"/>
                <w:u w:val="none"/>
                <w:lang w:val="en-CA"/>
              </w:rPr>
            </w:pPr>
          </w:p>
        </w:tc>
        <w:tc>
          <w:tcPr>
            <w:tcW w:w="100" w:type="pct"/>
            <w:vAlign w:val="center"/>
          </w:tcPr>
          <w:p w:rsidR="00DD17C2" w:rsidRPr="00701CDC" w:rsidRDefault="009920C3" w:rsidP="00701CDC">
            <w:pPr>
              <w:jc w:val="center"/>
              <w:rPr>
                <w:rStyle w:val="Hyperlink"/>
                <w:color w:val="auto"/>
                <w:sz w:val="28"/>
                <w:u w:val="none"/>
                <w:lang w:val="en-CA"/>
              </w:rPr>
            </w:pPr>
            <w:r w:rsidRPr="00701CDC">
              <w:rPr>
                <w:rStyle w:val="Hyperlink"/>
                <w:color w:val="auto"/>
                <w:sz w:val="28"/>
                <w:u w:val="none"/>
                <w:lang w:val="en-CA"/>
              </w:rPr>
              <w:t>x</w:t>
            </w:r>
          </w:p>
        </w:tc>
        <w:tc>
          <w:tcPr>
            <w:tcW w:w="100" w:type="pct"/>
            <w:vAlign w:val="center"/>
          </w:tcPr>
          <w:p w:rsidR="00DD17C2" w:rsidRPr="00701CDC" w:rsidRDefault="00DD17C2" w:rsidP="00701CDC">
            <w:pPr>
              <w:jc w:val="center"/>
              <w:rPr>
                <w:rStyle w:val="Hyperlink"/>
                <w:color w:val="auto"/>
                <w:sz w:val="28"/>
                <w:u w:val="none"/>
                <w:lang w:val="en-CA"/>
              </w:rPr>
            </w:pPr>
          </w:p>
        </w:tc>
        <w:tc>
          <w:tcPr>
            <w:tcW w:w="100" w:type="pct"/>
            <w:vAlign w:val="center"/>
          </w:tcPr>
          <w:p w:rsidR="00DD17C2" w:rsidRPr="00701CDC" w:rsidRDefault="009920C3" w:rsidP="00701CDC">
            <w:pPr>
              <w:jc w:val="center"/>
              <w:rPr>
                <w:rStyle w:val="Hyperlink"/>
                <w:color w:val="auto"/>
                <w:sz w:val="28"/>
                <w:u w:val="none"/>
                <w:lang w:val="en-CA"/>
              </w:rPr>
            </w:pPr>
            <w:r w:rsidRPr="00701CDC">
              <w:rPr>
                <w:rStyle w:val="Hyperlink"/>
                <w:color w:val="auto"/>
                <w:sz w:val="28"/>
                <w:u w:val="none"/>
                <w:lang w:val="en-CA"/>
              </w:rPr>
              <w:t>x</w:t>
            </w:r>
          </w:p>
        </w:tc>
        <w:tc>
          <w:tcPr>
            <w:tcW w:w="100" w:type="pct"/>
            <w:vAlign w:val="center"/>
          </w:tcPr>
          <w:p w:rsidR="00DD17C2" w:rsidRPr="00701CDC" w:rsidRDefault="00DD17C2" w:rsidP="00701CDC">
            <w:pPr>
              <w:jc w:val="center"/>
              <w:rPr>
                <w:rStyle w:val="Hyperlink"/>
                <w:color w:val="auto"/>
                <w:sz w:val="28"/>
                <w:u w:val="none"/>
                <w:lang w:val="en-CA"/>
              </w:rPr>
            </w:pPr>
          </w:p>
        </w:tc>
      </w:tr>
      <w:tr w:rsidR="00DD17C2" w:rsidTr="00701CDC">
        <w:trPr>
          <w:trHeight w:val="946"/>
          <w:jc w:val="center"/>
        </w:trPr>
        <w:tc>
          <w:tcPr>
            <w:tcW w:w="3658" w:type="pct"/>
          </w:tcPr>
          <w:p w:rsidR="00DD17C2" w:rsidRPr="00DD17C2" w:rsidRDefault="00DD17C2" w:rsidP="00D315F5">
            <w:pPr>
              <w:pStyle w:val="NoSpacing"/>
              <w:rPr>
                <w:b/>
                <w:lang w:val="en-CA"/>
              </w:rPr>
            </w:pPr>
            <w:r w:rsidRPr="00DD17C2">
              <w:rPr>
                <w:b/>
                <w:lang w:val="en-CA"/>
              </w:rPr>
              <w:t>Identity, Gender Stereotypes and roles, and Social Norms</w:t>
            </w:r>
          </w:p>
          <w:p w:rsidR="00DD17C2" w:rsidRPr="00DD17C2" w:rsidRDefault="00DD17C2" w:rsidP="00D315F5">
            <w:pPr>
              <w:pStyle w:val="NoSpacing"/>
              <w:rPr>
                <w:lang w:val="en-US"/>
              </w:rPr>
            </w:pPr>
            <w:r w:rsidRPr="00DD17C2">
              <w:rPr>
                <w:lang w:val="en-US"/>
              </w:rPr>
              <w:t>Identify stereotypical representations of femininity and masculinity and make connections between gender stereotypes and the development of your gender identity in your personal and social environments, including the media</w:t>
            </w:r>
          </w:p>
        </w:tc>
        <w:tc>
          <w:tcPr>
            <w:tcW w:w="100" w:type="pct"/>
            <w:vAlign w:val="center"/>
          </w:tcPr>
          <w:p w:rsidR="00DD17C2" w:rsidRPr="00701CDC" w:rsidRDefault="00DD17C2" w:rsidP="00701CDC">
            <w:pPr>
              <w:jc w:val="center"/>
              <w:rPr>
                <w:rStyle w:val="Hyperlink"/>
                <w:color w:val="auto"/>
                <w:sz w:val="28"/>
                <w:u w:val="none"/>
                <w:lang w:val="en-CA"/>
              </w:rPr>
            </w:pPr>
          </w:p>
        </w:tc>
        <w:tc>
          <w:tcPr>
            <w:tcW w:w="100" w:type="pct"/>
            <w:vAlign w:val="center"/>
          </w:tcPr>
          <w:p w:rsidR="00DD17C2" w:rsidRPr="00701CDC" w:rsidRDefault="00DD17C2" w:rsidP="00701CDC">
            <w:pPr>
              <w:jc w:val="center"/>
              <w:rPr>
                <w:rStyle w:val="Hyperlink"/>
                <w:color w:val="auto"/>
                <w:sz w:val="28"/>
                <w:u w:val="none"/>
                <w:lang w:val="en-CA"/>
              </w:rPr>
            </w:pPr>
          </w:p>
        </w:tc>
        <w:tc>
          <w:tcPr>
            <w:tcW w:w="100" w:type="pct"/>
            <w:vAlign w:val="center"/>
          </w:tcPr>
          <w:p w:rsidR="00DD17C2" w:rsidRPr="00701CDC" w:rsidRDefault="00DD17C2" w:rsidP="00701CDC">
            <w:pPr>
              <w:jc w:val="center"/>
              <w:rPr>
                <w:rStyle w:val="Hyperlink"/>
                <w:color w:val="auto"/>
                <w:sz w:val="28"/>
                <w:u w:val="none"/>
                <w:lang w:val="en-CA"/>
              </w:rPr>
            </w:pPr>
          </w:p>
        </w:tc>
        <w:tc>
          <w:tcPr>
            <w:tcW w:w="100" w:type="pct"/>
            <w:vAlign w:val="center"/>
          </w:tcPr>
          <w:p w:rsidR="00DD17C2" w:rsidRPr="00701CDC" w:rsidRDefault="009920C3" w:rsidP="00701CDC">
            <w:pPr>
              <w:jc w:val="center"/>
              <w:rPr>
                <w:rStyle w:val="Hyperlink"/>
                <w:color w:val="auto"/>
                <w:sz w:val="28"/>
                <w:u w:val="none"/>
                <w:lang w:val="en-CA"/>
              </w:rPr>
            </w:pPr>
            <w:r w:rsidRPr="00701CDC">
              <w:rPr>
                <w:rStyle w:val="Hyperlink"/>
                <w:color w:val="auto"/>
                <w:sz w:val="28"/>
                <w:u w:val="none"/>
                <w:lang w:val="en-CA"/>
              </w:rPr>
              <w:t>x</w:t>
            </w:r>
          </w:p>
        </w:tc>
        <w:tc>
          <w:tcPr>
            <w:tcW w:w="100" w:type="pct"/>
            <w:vAlign w:val="center"/>
          </w:tcPr>
          <w:p w:rsidR="00DD17C2" w:rsidRPr="00701CDC" w:rsidRDefault="00DD17C2" w:rsidP="00701CDC">
            <w:pPr>
              <w:jc w:val="center"/>
              <w:rPr>
                <w:rStyle w:val="Hyperlink"/>
                <w:color w:val="auto"/>
                <w:sz w:val="28"/>
                <w:u w:val="none"/>
                <w:lang w:val="en-CA"/>
              </w:rPr>
            </w:pPr>
          </w:p>
        </w:tc>
        <w:tc>
          <w:tcPr>
            <w:tcW w:w="100" w:type="pct"/>
            <w:vAlign w:val="center"/>
          </w:tcPr>
          <w:p w:rsidR="00DD17C2" w:rsidRPr="00701CDC" w:rsidRDefault="00DD17C2" w:rsidP="00701CDC">
            <w:pPr>
              <w:jc w:val="center"/>
              <w:rPr>
                <w:rStyle w:val="Hyperlink"/>
                <w:color w:val="auto"/>
                <w:sz w:val="28"/>
                <w:u w:val="none"/>
                <w:lang w:val="en-CA"/>
              </w:rPr>
            </w:pPr>
          </w:p>
        </w:tc>
        <w:tc>
          <w:tcPr>
            <w:tcW w:w="100" w:type="pct"/>
            <w:vAlign w:val="center"/>
          </w:tcPr>
          <w:p w:rsidR="00DD17C2" w:rsidRPr="00701CDC" w:rsidRDefault="00DD17C2" w:rsidP="00701CDC">
            <w:pPr>
              <w:jc w:val="center"/>
              <w:rPr>
                <w:rStyle w:val="Hyperlink"/>
                <w:color w:val="auto"/>
                <w:sz w:val="28"/>
                <w:u w:val="none"/>
                <w:lang w:val="en-CA"/>
              </w:rPr>
            </w:pPr>
          </w:p>
        </w:tc>
      </w:tr>
    </w:tbl>
    <w:p w:rsidR="00A3633E" w:rsidRDefault="00A3633E" w:rsidP="00A3633E">
      <w:pPr>
        <w:jc w:val="center"/>
        <w:rPr>
          <w:noProof/>
          <w:lang w:eastAsia="en-CA"/>
        </w:rPr>
      </w:pPr>
    </w:p>
    <w:p w:rsidR="00A3633E" w:rsidRDefault="00A3633E" w:rsidP="00986A58">
      <w:pPr>
        <w:pStyle w:val="Default"/>
        <w:jc w:val="both"/>
        <w:rPr>
          <w:sz w:val="22"/>
          <w:szCs w:val="22"/>
        </w:rPr>
      </w:pPr>
      <w:r>
        <w:rPr>
          <w:sz w:val="22"/>
          <w:szCs w:val="22"/>
        </w:rPr>
        <w:t xml:space="preserve">The school and the family play complementary roles in Sexuality Education. The complementary nature of these roles reinforces and optimizes the efforts of both. Rest assured that the school team is deeply committed to the healthy development of your child. </w:t>
      </w:r>
    </w:p>
    <w:p w:rsidR="00A3633E" w:rsidRDefault="00A3633E" w:rsidP="00986A58">
      <w:pPr>
        <w:pStyle w:val="Default"/>
        <w:jc w:val="both"/>
        <w:rPr>
          <w:sz w:val="22"/>
          <w:szCs w:val="22"/>
        </w:rPr>
      </w:pPr>
    </w:p>
    <w:p w:rsidR="00A3633E" w:rsidRDefault="00A3633E" w:rsidP="00986A58">
      <w:pPr>
        <w:pStyle w:val="Default"/>
        <w:jc w:val="both"/>
        <w:rPr>
          <w:sz w:val="22"/>
          <w:szCs w:val="22"/>
        </w:rPr>
      </w:pPr>
      <w:r>
        <w:rPr>
          <w:sz w:val="22"/>
          <w:szCs w:val="22"/>
        </w:rPr>
        <w:t xml:space="preserve">For more information about the MEES Sexuality </w:t>
      </w:r>
      <w:r w:rsidR="004124D0">
        <w:rPr>
          <w:sz w:val="22"/>
          <w:szCs w:val="22"/>
        </w:rPr>
        <w:t>Education Program, please visit:</w:t>
      </w:r>
    </w:p>
    <w:p w:rsidR="00A3633E" w:rsidRDefault="00A3633E" w:rsidP="00986A58">
      <w:pPr>
        <w:pStyle w:val="Default"/>
        <w:jc w:val="both"/>
        <w:rPr>
          <w:sz w:val="22"/>
          <w:szCs w:val="22"/>
        </w:rPr>
      </w:pPr>
    </w:p>
    <w:p w:rsidR="00F83AA2" w:rsidRDefault="00BB1C74" w:rsidP="00986A58">
      <w:pPr>
        <w:tabs>
          <w:tab w:val="left" w:pos="7350"/>
        </w:tabs>
        <w:jc w:val="both"/>
      </w:pPr>
      <w:hyperlink r:id="rId6" w:history="1">
        <w:r w:rsidR="00A3633E" w:rsidRPr="000806A0">
          <w:rPr>
            <w:rStyle w:val="Hyperlink"/>
          </w:rPr>
          <w:t>http://www.education.gouv.qc.ca/fileadmin/site_web/documents/education/adaptation-scolaire-services-comp/EDUC-Apprentissages-Sexualite-GrandPublic-EN.pdf</w:t>
        </w:r>
      </w:hyperlink>
    </w:p>
    <w:p w:rsidR="00A3633E" w:rsidRDefault="00A3633E" w:rsidP="00986A58">
      <w:pPr>
        <w:pStyle w:val="Default"/>
        <w:jc w:val="both"/>
        <w:rPr>
          <w:sz w:val="22"/>
          <w:szCs w:val="22"/>
        </w:rPr>
      </w:pPr>
      <w:r>
        <w:rPr>
          <w:sz w:val="22"/>
          <w:szCs w:val="22"/>
        </w:rPr>
        <w:t xml:space="preserve">Sincerely, </w:t>
      </w:r>
    </w:p>
    <w:p w:rsidR="00A3633E" w:rsidRDefault="00A3633E" w:rsidP="00986A58">
      <w:pPr>
        <w:pStyle w:val="Default"/>
        <w:jc w:val="both"/>
        <w:rPr>
          <w:sz w:val="22"/>
          <w:szCs w:val="22"/>
        </w:rPr>
      </w:pPr>
    </w:p>
    <w:p w:rsidR="00A3633E" w:rsidRDefault="00A3633E" w:rsidP="00986A58">
      <w:pPr>
        <w:pStyle w:val="Default"/>
        <w:jc w:val="both"/>
        <w:rPr>
          <w:sz w:val="22"/>
          <w:szCs w:val="22"/>
        </w:rPr>
      </w:pPr>
    </w:p>
    <w:p w:rsidR="00A3633E" w:rsidRDefault="00A3633E" w:rsidP="00986A58">
      <w:pPr>
        <w:tabs>
          <w:tab w:val="left" w:pos="7350"/>
        </w:tabs>
        <w:spacing w:after="0"/>
        <w:jc w:val="both"/>
      </w:pPr>
      <w:r>
        <w:t xml:space="preserve">L. </w:t>
      </w:r>
      <w:proofErr w:type="spellStart"/>
      <w:r>
        <w:t>Buscemi</w:t>
      </w:r>
      <w:proofErr w:type="spellEnd"/>
    </w:p>
    <w:p w:rsidR="00986A58" w:rsidRDefault="00986A58" w:rsidP="00986A58">
      <w:pPr>
        <w:tabs>
          <w:tab w:val="left" w:pos="7350"/>
        </w:tabs>
        <w:spacing w:after="0"/>
        <w:jc w:val="both"/>
      </w:pPr>
      <w:r>
        <w:t>Principal</w:t>
      </w:r>
      <w:bookmarkStart w:id="0" w:name="_GoBack"/>
      <w:bookmarkEnd w:id="0"/>
    </w:p>
    <w:p w:rsidR="00986A58" w:rsidRPr="00A3633E" w:rsidRDefault="00986A58" w:rsidP="00986A58">
      <w:pPr>
        <w:tabs>
          <w:tab w:val="left" w:pos="7350"/>
        </w:tabs>
        <w:jc w:val="both"/>
      </w:pPr>
    </w:p>
    <w:sectPr w:rsidR="00986A58" w:rsidRPr="00A3633E" w:rsidSect="007139AB">
      <w:headerReference w:type="even" r:id="rId7"/>
      <w:headerReference w:type="default" r:id="rId8"/>
      <w:footerReference w:type="even" r:id="rId9"/>
      <w:footerReference w:type="default" r:id="rId10"/>
      <w:headerReference w:type="first" r:id="rId11"/>
      <w:footerReference w:type="first" r:id="rId12"/>
      <w:pgSz w:w="12240" w:h="20160" w:code="5"/>
      <w:pgMar w:top="1247" w:right="1134" w:bottom="124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C74" w:rsidRDefault="00BB1C74" w:rsidP="00A3633E">
      <w:pPr>
        <w:spacing w:after="0" w:line="240" w:lineRule="auto"/>
      </w:pPr>
      <w:r>
        <w:separator/>
      </w:r>
    </w:p>
  </w:endnote>
  <w:endnote w:type="continuationSeparator" w:id="0">
    <w:p w:rsidR="00BB1C74" w:rsidRDefault="00BB1C74" w:rsidP="00A36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Iskoola Pota">
    <w:altName w:val="Didot"/>
    <w:charset w:val="00"/>
    <w:family w:val="swiss"/>
    <w:pitch w:val="variable"/>
    <w:sig w:usb0="00000003" w:usb1="00000000"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7C2" w:rsidRDefault="00DD17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7C2" w:rsidRDefault="00DD17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7C2" w:rsidRDefault="00DD1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C74" w:rsidRDefault="00BB1C74" w:rsidP="00A3633E">
      <w:pPr>
        <w:spacing w:after="0" w:line="240" w:lineRule="auto"/>
      </w:pPr>
      <w:r>
        <w:separator/>
      </w:r>
    </w:p>
  </w:footnote>
  <w:footnote w:type="continuationSeparator" w:id="0">
    <w:p w:rsidR="00BB1C74" w:rsidRDefault="00BB1C74" w:rsidP="00A36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7C2" w:rsidRDefault="00DD17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33E" w:rsidRDefault="00A3633E" w:rsidP="00A3633E">
    <w:pPr>
      <w:pStyle w:val="Header"/>
      <w:tabs>
        <w:tab w:val="clear" w:pos="4680"/>
        <w:tab w:val="clear" w:pos="9360"/>
      </w:tabs>
      <w:ind w:right="4"/>
      <w:jc w:val="center"/>
      <w:rPr>
        <w:rFonts w:ascii="Palatino Linotype" w:hAnsi="Palatino Linotype"/>
        <w:spacing w:val="80"/>
        <w:sz w:val="28"/>
        <w:szCs w:val="28"/>
      </w:rPr>
    </w:pPr>
    <w:r w:rsidRPr="00B14D1D">
      <w:rPr>
        <w:rFonts w:ascii="Palatino Linotype" w:hAnsi="Palatino Linotype"/>
        <w:noProof/>
        <w:spacing w:val="80"/>
        <w:sz w:val="28"/>
        <w:szCs w:val="28"/>
        <w:lang w:eastAsia="en-CA"/>
      </w:rPr>
      <w:drawing>
        <wp:anchor distT="0" distB="0" distL="114300" distR="114300" simplePos="0" relativeHeight="251659264" behindDoc="1" locked="0" layoutInCell="1" allowOverlap="1" wp14:anchorId="4F4904DA" wp14:editId="3F4C1103">
          <wp:simplePos x="0" y="0"/>
          <wp:positionH relativeFrom="margin">
            <wp:align>center</wp:align>
          </wp:positionH>
          <wp:positionV relativeFrom="paragraph">
            <wp:posOffset>7620</wp:posOffset>
          </wp:positionV>
          <wp:extent cx="923925" cy="1025954"/>
          <wp:effectExtent l="0" t="0" r="0" b="3175"/>
          <wp:wrapNone/>
          <wp:docPr id="3" name="Picture 3" descr="H:\documents\Hampstead 2016-2017\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Hampstead 2016-2017\School logo.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923925" cy="10259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633E" w:rsidRDefault="00A3633E" w:rsidP="00A3633E">
    <w:pPr>
      <w:pStyle w:val="Header"/>
      <w:tabs>
        <w:tab w:val="clear" w:pos="4680"/>
        <w:tab w:val="clear" w:pos="9360"/>
      </w:tabs>
      <w:ind w:right="4"/>
      <w:jc w:val="center"/>
      <w:rPr>
        <w:rFonts w:ascii="Iskoola Pota" w:hAnsi="Iskoola Pota" w:cs="Iskoola Pota"/>
        <w:b/>
        <w:spacing w:val="66"/>
        <w:sz w:val="32"/>
        <w:szCs w:val="32"/>
      </w:rPr>
    </w:pPr>
  </w:p>
  <w:p w:rsidR="00A3633E" w:rsidRDefault="00A3633E" w:rsidP="00A3633E">
    <w:pPr>
      <w:pStyle w:val="Header"/>
      <w:tabs>
        <w:tab w:val="clear" w:pos="4680"/>
        <w:tab w:val="clear" w:pos="9360"/>
      </w:tabs>
      <w:ind w:right="4"/>
      <w:jc w:val="center"/>
      <w:rPr>
        <w:rFonts w:ascii="Iskoola Pota" w:hAnsi="Iskoola Pota" w:cs="Iskoola Pota"/>
        <w:b/>
        <w:spacing w:val="66"/>
        <w:sz w:val="32"/>
        <w:szCs w:val="32"/>
      </w:rPr>
    </w:pPr>
  </w:p>
  <w:p w:rsidR="00A3633E" w:rsidRDefault="00A3633E" w:rsidP="00A3633E">
    <w:pPr>
      <w:pStyle w:val="Header"/>
      <w:tabs>
        <w:tab w:val="clear" w:pos="4680"/>
        <w:tab w:val="clear" w:pos="9360"/>
      </w:tabs>
      <w:ind w:right="4"/>
      <w:jc w:val="center"/>
      <w:rPr>
        <w:rFonts w:ascii="Iskoola Pota" w:hAnsi="Iskoola Pota" w:cs="Iskoola Pota"/>
        <w:b/>
        <w:spacing w:val="66"/>
        <w:sz w:val="32"/>
        <w:szCs w:val="32"/>
      </w:rPr>
    </w:pPr>
  </w:p>
  <w:p w:rsidR="00A3633E" w:rsidRPr="00B14D1D" w:rsidRDefault="00A3633E" w:rsidP="00A3633E">
    <w:pPr>
      <w:pStyle w:val="Header"/>
      <w:tabs>
        <w:tab w:val="clear" w:pos="4680"/>
        <w:tab w:val="clear" w:pos="9360"/>
      </w:tabs>
      <w:ind w:right="4"/>
      <w:jc w:val="center"/>
      <w:rPr>
        <w:rFonts w:ascii="Iskoola Pota" w:hAnsi="Iskoola Pota" w:cs="Iskoola Pota"/>
        <w:b/>
        <w:spacing w:val="66"/>
        <w:sz w:val="20"/>
        <w:szCs w:val="20"/>
      </w:rPr>
    </w:pPr>
  </w:p>
  <w:p w:rsidR="00A3633E" w:rsidRPr="001C244B" w:rsidRDefault="00A3633E" w:rsidP="00A3633E">
    <w:pPr>
      <w:pStyle w:val="Header"/>
      <w:tabs>
        <w:tab w:val="clear" w:pos="4680"/>
        <w:tab w:val="clear" w:pos="9360"/>
      </w:tabs>
      <w:ind w:right="4"/>
      <w:jc w:val="center"/>
      <w:rPr>
        <w:rFonts w:ascii="Iskoola Pota" w:hAnsi="Iskoola Pota" w:cs="Iskoola Pota"/>
        <w:b/>
        <w:sz w:val="32"/>
        <w:szCs w:val="32"/>
      </w:rPr>
    </w:pPr>
    <w:r w:rsidRPr="001C244B">
      <w:rPr>
        <w:rFonts w:ascii="Iskoola Pota" w:hAnsi="Iskoola Pota" w:cs="Iskoola Pota"/>
        <w:b/>
        <w:spacing w:val="66"/>
        <w:sz w:val="32"/>
        <w:szCs w:val="32"/>
      </w:rPr>
      <w:t>ÉCOLE HAMPSTEAD SCHOO</w:t>
    </w:r>
    <w:r w:rsidRPr="001C244B">
      <w:rPr>
        <w:rFonts w:ascii="Iskoola Pota" w:hAnsi="Iskoola Pota" w:cs="Iskoola Pota"/>
        <w:b/>
        <w:sz w:val="32"/>
        <w:szCs w:val="32"/>
      </w:rPr>
      <w:t>L</w:t>
    </w:r>
  </w:p>
  <w:p w:rsidR="00A3633E" w:rsidRPr="001B3BD0" w:rsidRDefault="00A3633E" w:rsidP="00A3633E">
    <w:pPr>
      <w:pStyle w:val="Header"/>
      <w:tabs>
        <w:tab w:val="clear" w:pos="4680"/>
        <w:tab w:val="clear" w:pos="9360"/>
      </w:tabs>
      <w:ind w:right="4"/>
      <w:jc w:val="center"/>
      <w:rPr>
        <w:rFonts w:ascii="Palatino Linotype" w:hAnsi="Palatino Linotype"/>
        <w:spacing w:val="40"/>
        <w:sz w:val="6"/>
        <w:szCs w:val="6"/>
      </w:rPr>
    </w:pPr>
  </w:p>
  <w:p w:rsidR="00A3633E" w:rsidRDefault="00A3633E" w:rsidP="00A3633E">
    <w:pPr>
      <w:pStyle w:val="NoSpacing"/>
      <w:jc w:val="center"/>
      <w:rPr>
        <w:rFonts w:ascii="Iskoola Pota" w:hAnsi="Iskoola Pota" w:cs="Iskoola Pota"/>
        <w:spacing w:val="40"/>
      </w:rPr>
    </w:pPr>
    <w:r w:rsidRPr="001C244B">
      <w:rPr>
        <w:rFonts w:ascii="Iskoola Pota" w:hAnsi="Iskoola Pota" w:cs="Iskoola Pota"/>
        <w:spacing w:val="56"/>
      </w:rPr>
      <w:t>SINCE 192</w:t>
    </w:r>
    <w:r w:rsidRPr="001C244B">
      <w:rPr>
        <w:rFonts w:ascii="Iskoola Pota" w:hAnsi="Iskoola Pota" w:cs="Iskoola Pota"/>
        <w:spacing w:val="40"/>
      </w:rPr>
      <w:t>5</w:t>
    </w:r>
  </w:p>
  <w:p w:rsidR="00A3633E" w:rsidRPr="00A3633E" w:rsidRDefault="00A3633E" w:rsidP="00A363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7C2" w:rsidRDefault="00DD17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M3NzYzMjQ3NbO0sDRS0lEKTi0uzszPAykwqQUAvA3wXywAAAA="/>
  </w:docVars>
  <w:rsids>
    <w:rsidRoot w:val="00A3633E"/>
    <w:rsid w:val="00130732"/>
    <w:rsid w:val="004124D0"/>
    <w:rsid w:val="00562A8C"/>
    <w:rsid w:val="00701CDC"/>
    <w:rsid w:val="007139AB"/>
    <w:rsid w:val="00986A58"/>
    <w:rsid w:val="009920C3"/>
    <w:rsid w:val="00A115B3"/>
    <w:rsid w:val="00A3633E"/>
    <w:rsid w:val="00BB1C74"/>
    <w:rsid w:val="00DD17C2"/>
    <w:rsid w:val="00F3651E"/>
    <w:rsid w:val="00F52309"/>
    <w:rsid w:val="00F83A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E80A9"/>
  <w15:chartTrackingRefBased/>
  <w15:docId w15:val="{1CBC283D-4306-4D28-9DB5-E5A27E980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633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3633E"/>
    <w:rPr>
      <w:color w:val="0563C1" w:themeColor="hyperlink"/>
      <w:u w:val="single"/>
    </w:rPr>
  </w:style>
  <w:style w:type="paragraph" w:styleId="Header">
    <w:name w:val="header"/>
    <w:basedOn w:val="Normal"/>
    <w:link w:val="HeaderChar"/>
    <w:uiPriority w:val="99"/>
    <w:unhideWhenUsed/>
    <w:rsid w:val="00A36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33E"/>
  </w:style>
  <w:style w:type="paragraph" w:styleId="Footer">
    <w:name w:val="footer"/>
    <w:basedOn w:val="Normal"/>
    <w:link w:val="FooterChar"/>
    <w:uiPriority w:val="99"/>
    <w:unhideWhenUsed/>
    <w:rsid w:val="00A36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33E"/>
  </w:style>
  <w:style w:type="paragraph" w:styleId="NoSpacing">
    <w:name w:val="No Spacing"/>
    <w:uiPriority w:val="1"/>
    <w:qFormat/>
    <w:rsid w:val="00A3633E"/>
    <w:pPr>
      <w:spacing w:after="0" w:line="240" w:lineRule="auto"/>
    </w:pPr>
  </w:style>
  <w:style w:type="table" w:styleId="TableGrid">
    <w:name w:val="Table Grid"/>
    <w:basedOn w:val="TableNormal"/>
    <w:uiPriority w:val="59"/>
    <w:rsid w:val="00DD17C2"/>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1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C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cation.gouv.qc.ca/fileadmin/site_web/documents/education/adaptation-scolaire-services-comp/EDUC-Apprentissages-Sexualite-GrandPublic-EN.pd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EMSB</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Creamer, Michael</dc:creator>
  <cp:keywords/>
  <dc:description/>
  <cp:lastModifiedBy>Creamer, Michael</cp:lastModifiedBy>
  <cp:revision>9</cp:revision>
  <cp:lastPrinted>2020-02-24T14:07:00Z</cp:lastPrinted>
  <dcterms:created xsi:type="dcterms:W3CDTF">2020-02-21T15:47:00Z</dcterms:created>
  <dcterms:modified xsi:type="dcterms:W3CDTF">2020-02-24T16:10:00Z</dcterms:modified>
</cp:coreProperties>
</file>